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14895" w:type="dxa"/>
        <w:tblInd w:w="-5" w:type="dxa"/>
        <w:tblLayout w:type="fixed"/>
        <w:tblLook w:val="04A0" w:firstRow="1" w:lastRow="0" w:firstColumn="1" w:lastColumn="0" w:noHBand="0" w:noVBand="1"/>
      </w:tblPr>
      <w:tblGrid>
        <w:gridCol w:w="1701"/>
        <w:gridCol w:w="3711"/>
        <w:gridCol w:w="2410"/>
        <w:gridCol w:w="2387"/>
        <w:gridCol w:w="2160"/>
        <w:gridCol w:w="2520"/>
        <w:gridCol w:w="6"/>
      </w:tblGrid>
      <w:tr w:rsidR="00A53634" w:rsidRPr="00883791" w14:paraId="290EF4D8" w14:textId="0269936A" w:rsidTr="003757BA">
        <w:trPr>
          <w:gridAfter w:val="1"/>
          <w:wAfter w:w="6" w:type="dxa"/>
          <w:trHeight w:val="1277"/>
          <w:tblHeader/>
        </w:trPr>
        <w:tc>
          <w:tcPr>
            <w:tcW w:w="1701" w:type="dxa"/>
          </w:tcPr>
          <w:p w14:paraId="73F0AF19" w14:textId="77777777" w:rsidR="00A53634" w:rsidRPr="00883791" w:rsidRDefault="00A53634" w:rsidP="00E07950">
            <w:pPr>
              <w:jc w:val="center"/>
              <w:rPr>
                <w:rFonts w:cstheme="minorHAnsi"/>
                <w:b/>
                <w:sz w:val="20"/>
                <w:szCs w:val="20"/>
              </w:rPr>
            </w:pPr>
            <w:r w:rsidRPr="00883791">
              <w:rPr>
                <w:rFonts w:cstheme="minorHAnsi"/>
                <w:b/>
                <w:sz w:val="20"/>
                <w:szCs w:val="20"/>
              </w:rPr>
              <w:t>ACTIVITES / TACHES</w:t>
            </w:r>
          </w:p>
          <w:p w14:paraId="737A4E76" w14:textId="77777777" w:rsidR="00A53634" w:rsidRPr="00883791" w:rsidRDefault="00A53634" w:rsidP="00E07950">
            <w:pPr>
              <w:jc w:val="center"/>
              <w:rPr>
                <w:rFonts w:cstheme="minorHAnsi"/>
                <w:b/>
                <w:bCs/>
                <w:sz w:val="20"/>
                <w:szCs w:val="20"/>
              </w:rPr>
            </w:pPr>
            <w:r w:rsidRPr="00883791">
              <w:rPr>
                <w:rFonts w:cstheme="minorHAnsi"/>
                <w:b/>
                <w:sz w:val="20"/>
                <w:szCs w:val="20"/>
              </w:rPr>
              <w:t>IMAGE DE L’EMPLOI</w:t>
            </w:r>
          </w:p>
        </w:tc>
        <w:tc>
          <w:tcPr>
            <w:tcW w:w="3711" w:type="dxa"/>
          </w:tcPr>
          <w:p w14:paraId="3620F2CA" w14:textId="6CD4873B" w:rsidR="00A53634" w:rsidRPr="00883791" w:rsidRDefault="00A53634" w:rsidP="00E07950">
            <w:pPr>
              <w:jc w:val="center"/>
              <w:rPr>
                <w:b/>
                <w:bCs/>
                <w:sz w:val="20"/>
                <w:szCs w:val="20"/>
              </w:rPr>
            </w:pPr>
            <w:r w:rsidRPr="1B9AFCBC">
              <w:rPr>
                <w:b/>
                <w:bCs/>
                <w:sz w:val="20"/>
                <w:szCs w:val="20"/>
              </w:rPr>
              <w:t xml:space="preserve">COMPETENCES : </w:t>
            </w:r>
            <w:r w:rsidRPr="1B9AFCBC">
              <w:rPr>
                <w:sz w:val="20"/>
                <w:szCs w:val="20"/>
              </w:rPr>
              <w:t>l’organisme doit démontrer que son parcours permet réellement de développer chacune des compétences du parcours, dans le respect des critères de performance attendus</w:t>
            </w:r>
          </w:p>
        </w:tc>
        <w:tc>
          <w:tcPr>
            <w:tcW w:w="2410" w:type="dxa"/>
            <w:shd w:val="clear" w:color="auto" w:fill="D9D9D9" w:themeFill="background1" w:themeFillShade="D9"/>
          </w:tcPr>
          <w:p w14:paraId="47353066" w14:textId="615EA268" w:rsidR="00A53634" w:rsidRPr="00883791" w:rsidRDefault="00A53634" w:rsidP="00E07950">
            <w:pPr>
              <w:jc w:val="center"/>
              <w:rPr>
                <w:b/>
                <w:bCs/>
                <w:sz w:val="20"/>
                <w:szCs w:val="20"/>
              </w:rPr>
            </w:pPr>
            <w:r w:rsidRPr="059F1FAA">
              <w:rPr>
                <w:b/>
                <w:bCs/>
                <w:sz w:val="20"/>
                <w:szCs w:val="20"/>
              </w:rPr>
              <w:t xml:space="preserve">Quels </w:t>
            </w:r>
            <w:r>
              <w:rPr>
                <w:b/>
                <w:bCs/>
                <w:sz w:val="20"/>
                <w:szCs w:val="20"/>
              </w:rPr>
              <w:t xml:space="preserve">sont les </w:t>
            </w:r>
            <w:r w:rsidRPr="059F1FAA">
              <w:rPr>
                <w:b/>
                <w:bCs/>
                <w:sz w:val="20"/>
                <w:szCs w:val="20"/>
              </w:rPr>
              <w:t xml:space="preserve">modules </w:t>
            </w:r>
            <w:r w:rsidR="00235DA4">
              <w:rPr>
                <w:b/>
                <w:bCs/>
                <w:sz w:val="20"/>
                <w:szCs w:val="20"/>
              </w:rPr>
              <w:t xml:space="preserve">/ séquences </w:t>
            </w:r>
            <w:r w:rsidRPr="059F1FAA">
              <w:rPr>
                <w:b/>
                <w:bCs/>
                <w:sz w:val="20"/>
                <w:szCs w:val="20"/>
              </w:rPr>
              <w:t>de votre parcours préparent à chacune de</w:t>
            </w:r>
            <w:r w:rsidR="00E22B60">
              <w:rPr>
                <w:b/>
                <w:bCs/>
                <w:sz w:val="20"/>
                <w:szCs w:val="20"/>
              </w:rPr>
              <w:t xml:space="preserve"> ces</w:t>
            </w:r>
            <w:r w:rsidRPr="059F1FAA">
              <w:rPr>
                <w:b/>
                <w:bCs/>
                <w:sz w:val="20"/>
                <w:szCs w:val="20"/>
              </w:rPr>
              <w:t xml:space="preserve"> compétences ?</w:t>
            </w:r>
          </w:p>
        </w:tc>
        <w:tc>
          <w:tcPr>
            <w:tcW w:w="2387" w:type="dxa"/>
            <w:shd w:val="clear" w:color="auto" w:fill="D9D9D9" w:themeFill="background1" w:themeFillShade="D9"/>
          </w:tcPr>
          <w:p w14:paraId="08B41E13" w14:textId="0AC90369" w:rsidR="00A53634" w:rsidRPr="1B9AFCBC" w:rsidRDefault="00A53634" w:rsidP="00E07950">
            <w:pPr>
              <w:jc w:val="center"/>
              <w:rPr>
                <w:b/>
                <w:bCs/>
                <w:sz w:val="20"/>
                <w:szCs w:val="20"/>
              </w:rPr>
            </w:pPr>
            <w:r w:rsidRPr="65664E1B">
              <w:rPr>
                <w:b/>
                <w:bCs/>
                <w:sz w:val="20"/>
                <w:szCs w:val="20"/>
              </w:rPr>
              <w:t>A quel</w:t>
            </w:r>
            <w:r w:rsidR="00D63415" w:rsidRPr="65664E1B">
              <w:rPr>
                <w:b/>
                <w:bCs/>
                <w:sz w:val="20"/>
                <w:szCs w:val="20"/>
              </w:rPr>
              <w:t>(s)</w:t>
            </w:r>
            <w:r w:rsidRPr="65664E1B">
              <w:rPr>
                <w:b/>
                <w:bCs/>
                <w:sz w:val="20"/>
                <w:szCs w:val="20"/>
              </w:rPr>
              <w:t xml:space="preserve"> thème</w:t>
            </w:r>
            <w:r w:rsidR="00D63415" w:rsidRPr="65664E1B">
              <w:rPr>
                <w:b/>
                <w:bCs/>
                <w:sz w:val="20"/>
                <w:szCs w:val="20"/>
              </w:rPr>
              <w:t>(s)</w:t>
            </w:r>
            <w:r w:rsidRPr="65664E1B">
              <w:rPr>
                <w:b/>
                <w:bCs/>
                <w:sz w:val="20"/>
                <w:szCs w:val="20"/>
              </w:rPr>
              <w:t xml:space="preserve"> de formation</w:t>
            </w:r>
            <w:r w:rsidR="6744B340" w:rsidRPr="65664E1B">
              <w:rPr>
                <w:b/>
                <w:bCs/>
                <w:sz w:val="20"/>
                <w:szCs w:val="20"/>
              </w:rPr>
              <w:t xml:space="preserve"> </w:t>
            </w:r>
            <w:r w:rsidRPr="65664E1B">
              <w:rPr>
                <w:b/>
                <w:bCs/>
                <w:sz w:val="20"/>
                <w:szCs w:val="20"/>
              </w:rPr>
              <w:t>raccrochez-vous vos</w:t>
            </w:r>
            <w:r w:rsidR="00DB6EAF" w:rsidRPr="65664E1B">
              <w:rPr>
                <w:b/>
                <w:bCs/>
                <w:sz w:val="20"/>
                <w:szCs w:val="20"/>
              </w:rPr>
              <w:t xml:space="preserve"> propres</w:t>
            </w:r>
            <w:r w:rsidRPr="65664E1B">
              <w:rPr>
                <w:b/>
                <w:bCs/>
                <w:sz w:val="20"/>
                <w:szCs w:val="20"/>
              </w:rPr>
              <w:t xml:space="preserve"> </w:t>
            </w:r>
            <w:r w:rsidR="00FC402B" w:rsidRPr="65664E1B">
              <w:rPr>
                <w:b/>
                <w:bCs/>
                <w:sz w:val="20"/>
                <w:szCs w:val="20"/>
              </w:rPr>
              <w:t>modules</w:t>
            </w:r>
            <w:r w:rsidR="00DB6EAF" w:rsidRPr="65664E1B">
              <w:rPr>
                <w:b/>
                <w:bCs/>
                <w:sz w:val="20"/>
                <w:szCs w:val="20"/>
              </w:rPr>
              <w:t> </w:t>
            </w:r>
            <w:r w:rsidR="34BF41A8" w:rsidRPr="65664E1B">
              <w:rPr>
                <w:b/>
                <w:bCs/>
                <w:sz w:val="20"/>
                <w:szCs w:val="20"/>
              </w:rPr>
              <w:t xml:space="preserve">(cf. Note de cadrage de la </w:t>
            </w:r>
            <w:r w:rsidR="00F63FFF" w:rsidRPr="65664E1B">
              <w:rPr>
                <w:b/>
                <w:bCs/>
                <w:sz w:val="20"/>
                <w:szCs w:val="20"/>
              </w:rPr>
              <w:t>formation)</w:t>
            </w:r>
            <w:r w:rsidR="00DB6EAF" w:rsidRPr="65664E1B">
              <w:rPr>
                <w:b/>
                <w:bCs/>
                <w:sz w:val="20"/>
                <w:szCs w:val="20"/>
              </w:rPr>
              <w:t>?</w:t>
            </w:r>
          </w:p>
        </w:tc>
        <w:tc>
          <w:tcPr>
            <w:tcW w:w="2160" w:type="dxa"/>
            <w:shd w:val="clear" w:color="auto" w:fill="D9D9D9" w:themeFill="background1" w:themeFillShade="D9"/>
          </w:tcPr>
          <w:p w14:paraId="2A7BD9D3" w14:textId="454D9EF3" w:rsidR="00A53634" w:rsidRPr="059F1FAA" w:rsidRDefault="00A53634" w:rsidP="00E07950">
            <w:pPr>
              <w:jc w:val="center"/>
              <w:rPr>
                <w:b/>
                <w:bCs/>
                <w:sz w:val="20"/>
                <w:szCs w:val="20"/>
              </w:rPr>
            </w:pPr>
            <w:r w:rsidRPr="1B9AFCBC">
              <w:rPr>
                <w:b/>
                <w:bCs/>
                <w:sz w:val="20"/>
                <w:szCs w:val="20"/>
              </w:rPr>
              <w:t>Quelle durée type d’apprentissage estimez-vous pour chacune de ces compétences ?</w:t>
            </w:r>
          </w:p>
        </w:tc>
        <w:tc>
          <w:tcPr>
            <w:tcW w:w="2520" w:type="dxa"/>
            <w:shd w:val="clear" w:color="auto" w:fill="D9D9D9" w:themeFill="background1" w:themeFillShade="D9"/>
          </w:tcPr>
          <w:p w14:paraId="60028356" w14:textId="39A55938" w:rsidR="001F62C2" w:rsidRDefault="00A53634" w:rsidP="00E07950">
            <w:pPr>
              <w:spacing w:line="259" w:lineRule="auto"/>
              <w:jc w:val="center"/>
              <w:rPr>
                <w:i/>
                <w:iCs/>
                <w:sz w:val="20"/>
                <w:szCs w:val="20"/>
              </w:rPr>
            </w:pPr>
            <w:r w:rsidRPr="65664E1B">
              <w:rPr>
                <w:b/>
                <w:bCs/>
                <w:sz w:val="20"/>
                <w:szCs w:val="20"/>
              </w:rPr>
              <w:t xml:space="preserve">Comment </w:t>
            </w:r>
            <w:r w:rsidR="39033A7C" w:rsidRPr="65664E1B">
              <w:rPr>
                <w:b/>
                <w:bCs/>
                <w:sz w:val="20"/>
                <w:szCs w:val="20"/>
              </w:rPr>
              <w:t xml:space="preserve">contextualisez-vous les contenus aux environnements professionnels futurs des candidats pour </w:t>
            </w:r>
            <w:r w:rsidRPr="65664E1B">
              <w:rPr>
                <w:b/>
                <w:bCs/>
                <w:sz w:val="20"/>
                <w:szCs w:val="20"/>
              </w:rPr>
              <w:t xml:space="preserve">chacune de ces compétences </w:t>
            </w:r>
            <w:r w:rsidRPr="65664E1B">
              <w:rPr>
                <w:i/>
                <w:iCs/>
                <w:sz w:val="20"/>
                <w:szCs w:val="20"/>
              </w:rPr>
              <w:t>(ex : projets, immersions,</w:t>
            </w:r>
          </w:p>
          <w:p w14:paraId="086D9D19" w14:textId="175C8FAA" w:rsidR="00A53634" w:rsidRPr="00883791" w:rsidRDefault="00A53634" w:rsidP="00E07950">
            <w:pPr>
              <w:spacing w:line="259" w:lineRule="auto"/>
              <w:jc w:val="center"/>
              <w:rPr>
                <w:b/>
                <w:bCs/>
                <w:sz w:val="20"/>
                <w:szCs w:val="20"/>
              </w:rPr>
            </w:pPr>
            <w:r w:rsidRPr="65664E1B">
              <w:rPr>
                <w:i/>
                <w:iCs/>
                <w:sz w:val="20"/>
                <w:szCs w:val="20"/>
              </w:rPr>
              <w:t>benchmark, études de cas</w:t>
            </w:r>
            <w:r w:rsidR="00F758F6" w:rsidRPr="65664E1B">
              <w:rPr>
                <w:i/>
                <w:iCs/>
                <w:sz w:val="20"/>
                <w:szCs w:val="20"/>
              </w:rPr>
              <w:t>,</w:t>
            </w:r>
            <w:r w:rsidRPr="65664E1B">
              <w:rPr>
                <w:i/>
                <w:iCs/>
                <w:sz w:val="20"/>
                <w:szCs w:val="20"/>
              </w:rPr>
              <w:t>…)</w:t>
            </w:r>
            <w:r w:rsidRPr="65664E1B">
              <w:rPr>
                <w:b/>
                <w:bCs/>
                <w:sz w:val="20"/>
                <w:szCs w:val="20"/>
              </w:rPr>
              <w:t xml:space="preserve"> ?</w:t>
            </w:r>
          </w:p>
        </w:tc>
      </w:tr>
      <w:tr w:rsidR="00617246" w:rsidRPr="00B03E75" w14:paraId="5881FBF8" w14:textId="34F60E8B" w:rsidTr="005A12D4">
        <w:trPr>
          <w:trHeight w:val="1747"/>
        </w:trPr>
        <w:tc>
          <w:tcPr>
            <w:tcW w:w="14895" w:type="dxa"/>
            <w:gridSpan w:val="7"/>
            <w:shd w:val="clear" w:color="auto" w:fill="E7E6E6" w:themeFill="background2"/>
            <w:vAlign w:val="center"/>
          </w:tcPr>
          <w:p w14:paraId="10E6B8C5" w14:textId="0537DB1B" w:rsidR="00617246" w:rsidRPr="00B03E75" w:rsidRDefault="00617246" w:rsidP="00617246">
            <w:pPr>
              <w:jc w:val="both"/>
              <w:rPr>
                <w:rFonts w:cstheme="minorHAnsi"/>
                <w:b/>
                <w:bCs/>
                <w:sz w:val="20"/>
                <w:szCs w:val="20"/>
                <w:highlight w:val="yellow"/>
              </w:rPr>
            </w:pPr>
            <w:r w:rsidRPr="002E7BD8">
              <w:rPr>
                <w:rFonts w:cstheme="minorHAnsi"/>
                <w:b/>
                <w:bCs/>
              </w:rPr>
              <w:t>BLOC 1</w:t>
            </w:r>
            <w:r>
              <w:rPr>
                <w:rFonts w:cstheme="minorHAnsi"/>
                <w:b/>
                <w:bCs/>
              </w:rPr>
              <w:t> - Définir une démarche stratégique Green IT</w:t>
            </w:r>
          </w:p>
        </w:tc>
      </w:tr>
      <w:tr w:rsidR="00617246" w:rsidRPr="00B03E75" w14:paraId="2AFC1B3A" w14:textId="23B13FF0" w:rsidTr="00E77C74">
        <w:trPr>
          <w:gridAfter w:val="1"/>
          <w:wAfter w:w="6" w:type="dxa"/>
          <w:trHeight w:val="1194"/>
        </w:trPr>
        <w:tc>
          <w:tcPr>
            <w:tcW w:w="1701" w:type="dxa"/>
            <w:vMerge w:val="restart"/>
          </w:tcPr>
          <w:p w14:paraId="22A0A732" w14:textId="4CB1898C" w:rsidR="00617246" w:rsidRPr="00B03E75" w:rsidRDefault="00617246" w:rsidP="00617246">
            <w:pPr>
              <w:rPr>
                <w:rFonts w:cstheme="minorHAnsi"/>
                <w:b/>
                <w:color w:val="7030A0"/>
                <w:sz w:val="20"/>
                <w:szCs w:val="20"/>
                <w:highlight w:val="yellow"/>
              </w:rPr>
            </w:pPr>
            <w:r w:rsidRPr="002E7BD8">
              <w:rPr>
                <w:rFonts w:cstheme="minorHAnsi"/>
              </w:rPr>
              <w:t xml:space="preserve">Activité </w:t>
            </w:r>
            <w:r w:rsidRPr="004A6172">
              <w:rPr>
                <w:rFonts w:cstheme="minorHAnsi"/>
              </w:rPr>
              <w:t>1</w:t>
            </w:r>
            <w:r w:rsidRPr="002E7BD8">
              <w:rPr>
                <w:rFonts w:cstheme="minorHAnsi"/>
              </w:rPr>
              <w:t xml:space="preserve"> : Réalisation d’un bilan global des impacts environnementaux du système d’information et de sa maturité</w:t>
            </w:r>
          </w:p>
        </w:tc>
        <w:tc>
          <w:tcPr>
            <w:tcW w:w="3711" w:type="dxa"/>
          </w:tcPr>
          <w:p w14:paraId="2FB0C180" w14:textId="7CE63486" w:rsidR="00617246" w:rsidRPr="00617246" w:rsidRDefault="00617246" w:rsidP="00617246">
            <w:pPr>
              <w:rPr>
                <w:rFonts w:cstheme="minorHAnsi"/>
                <w:sz w:val="20"/>
                <w:szCs w:val="20"/>
                <w:highlight w:val="yellow"/>
              </w:rPr>
            </w:pPr>
            <w:r w:rsidRPr="00617246">
              <w:rPr>
                <w:rFonts w:cstheme="minorHAnsi"/>
              </w:rPr>
              <w:t>C1.1 Réaliser une Analyse de Cycle de Vie (ACV) en recueillant des données d’inventaire du système d’information de l’organisation afin de pouvoir en quantifier les impacts environnementaux et sociaux.</w:t>
            </w:r>
          </w:p>
        </w:tc>
        <w:tc>
          <w:tcPr>
            <w:tcW w:w="2410" w:type="dxa"/>
          </w:tcPr>
          <w:p w14:paraId="7BA5F443" w14:textId="524FA82A" w:rsidR="00617246" w:rsidRPr="00B03E75" w:rsidRDefault="00617246" w:rsidP="00617246">
            <w:pPr>
              <w:tabs>
                <w:tab w:val="num" w:pos="1080"/>
              </w:tabs>
              <w:rPr>
                <w:rFonts w:cstheme="minorHAnsi"/>
                <w:sz w:val="20"/>
                <w:szCs w:val="20"/>
                <w:highlight w:val="yellow"/>
              </w:rPr>
            </w:pPr>
          </w:p>
        </w:tc>
        <w:tc>
          <w:tcPr>
            <w:tcW w:w="2387" w:type="dxa"/>
          </w:tcPr>
          <w:p w14:paraId="3D565F08" w14:textId="77777777" w:rsidR="00617246" w:rsidRPr="00B03E75" w:rsidRDefault="00617246" w:rsidP="00617246">
            <w:pPr>
              <w:tabs>
                <w:tab w:val="num" w:pos="1080"/>
              </w:tabs>
              <w:rPr>
                <w:rFonts w:cstheme="minorHAnsi"/>
                <w:sz w:val="20"/>
                <w:szCs w:val="20"/>
                <w:highlight w:val="yellow"/>
              </w:rPr>
            </w:pPr>
          </w:p>
        </w:tc>
        <w:tc>
          <w:tcPr>
            <w:tcW w:w="2160" w:type="dxa"/>
          </w:tcPr>
          <w:p w14:paraId="206A0CCB" w14:textId="2A69F12F" w:rsidR="00617246" w:rsidRPr="00B03E75" w:rsidRDefault="00617246" w:rsidP="00617246">
            <w:pPr>
              <w:tabs>
                <w:tab w:val="num" w:pos="1080"/>
              </w:tabs>
              <w:rPr>
                <w:rFonts w:cstheme="minorHAnsi"/>
                <w:sz w:val="20"/>
                <w:szCs w:val="20"/>
                <w:highlight w:val="yellow"/>
              </w:rPr>
            </w:pPr>
          </w:p>
        </w:tc>
        <w:tc>
          <w:tcPr>
            <w:tcW w:w="2520" w:type="dxa"/>
          </w:tcPr>
          <w:p w14:paraId="1FE82F89" w14:textId="77777777" w:rsidR="00617246" w:rsidRPr="00B03E75" w:rsidRDefault="00617246" w:rsidP="00617246">
            <w:pPr>
              <w:tabs>
                <w:tab w:val="num" w:pos="1080"/>
              </w:tabs>
              <w:rPr>
                <w:rFonts w:cstheme="minorHAnsi"/>
                <w:sz w:val="20"/>
                <w:szCs w:val="20"/>
                <w:highlight w:val="yellow"/>
              </w:rPr>
            </w:pPr>
          </w:p>
        </w:tc>
      </w:tr>
      <w:tr w:rsidR="00617246" w:rsidRPr="00B03E75" w14:paraId="3340D831" w14:textId="77777777" w:rsidTr="00E77C74">
        <w:trPr>
          <w:gridAfter w:val="1"/>
          <w:wAfter w:w="6" w:type="dxa"/>
          <w:trHeight w:val="1194"/>
        </w:trPr>
        <w:tc>
          <w:tcPr>
            <w:tcW w:w="1701" w:type="dxa"/>
            <w:vMerge/>
          </w:tcPr>
          <w:p w14:paraId="7ADE01C8" w14:textId="77777777" w:rsidR="00617246" w:rsidRPr="002E7BD8" w:rsidRDefault="00617246" w:rsidP="00617246">
            <w:pPr>
              <w:rPr>
                <w:rFonts w:cstheme="minorHAnsi"/>
              </w:rPr>
            </w:pPr>
          </w:p>
        </w:tc>
        <w:tc>
          <w:tcPr>
            <w:tcW w:w="3711" w:type="dxa"/>
          </w:tcPr>
          <w:p w14:paraId="31F76046" w14:textId="12353150" w:rsidR="00617246" w:rsidRPr="00617246" w:rsidRDefault="00617246" w:rsidP="00617246">
            <w:pPr>
              <w:rPr>
                <w:rFonts w:cstheme="minorHAnsi"/>
              </w:rPr>
            </w:pPr>
            <w:r w:rsidRPr="004A6172">
              <w:rPr>
                <w:rFonts w:cstheme="minorHAnsi"/>
              </w:rPr>
              <w:t xml:space="preserve">C1.2 </w:t>
            </w:r>
            <w:r w:rsidRPr="002E7BD8">
              <w:rPr>
                <w:rFonts w:cstheme="minorHAnsi"/>
              </w:rPr>
              <w:t>Evaluer la maturité de l’entreprise en s’appuyant sur des référentiels ainsi qu’un système d’évaluation et de comparaison afin de dresser un état des lieux de l’organisation sur ses pratiques Green IT.</w:t>
            </w:r>
          </w:p>
        </w:tc>
        <w:tc>
          <w:tcPr>
            <w:tcW w:w="2410" w:type="dxa"/>
          </w:tcPr>
          <w:p w14:paraId="7A3538C4" w14:textId="77777777" w:rsidR="00617246" w:rsidRPr="004A6172" w:rsidRDefault="00617246" w:rsidP="00617246">
            <w:pPr>
              <w:jc w:val="both"/>
              <w:rPr>
                <w:rFonts w:cstheme="minorHAnsi"/>
              </w:rPr>
            </w:pPr>
          </w:p>
        </w:tc>
        <w:tc>
          <w:tcPr>
            <w:tcW w:w="2387" w:type="dxa"/>
          </w:tcPr>
          <w:p w14:paraId="66CFA126" w14:textId="77777777" w:rsidR="00617246" w:rsidRPr="00B03E75" w:rsidRDefault="00617246" w:rsidP="00617246">
            <w:pPr>
              <w:tabs>
                <w:tab w:val="num" w:pos="1080"/>
              </w:tabs>
              <w:rPr>
                <w:rFonts w:cstheme="minorHAnsi"/>
                <w:sz w:val="20"/>
                <w:szCs w:val="20"/>
                <w:highlight w:val="yellow"/>
              </w:rPr>
            </w:pPr>
          </w:p>
        </w:tc>
        <w:tc>
          <w:tcPr>
            <w:tcW w:w="2160" w:type="dxa"/>
          </w:tcPr>
          <w:p w14:paraId="46662903" w14:textId="77777777" w:rsidR="00617246" w:rsidRPr="00B03E75" w:rsidRDefault="00617246" w:rsidP="00617246">
            <w:pPr>
              <w:tabs>
                <w:tab w:val="num" w:pos="1080"/>
              </w:tabs>
              <w:rPr>
                <w:rFonts w:cstheme="minorHAnsi"/>
                <w:sz w:val="20"/>
                <w:szCs w:val="20"/>
                <w:highlight w:val="yellow"/>
              </w:rPr>
            </w:pPr>
          </w:p>
        </w:tc>
        <w:tc>
          <w:tcPr>
            <w:tcW w:w="2520" w:type="dxa"/>
          </w:tcPr>
          <w:p w14:paraId="58403BBE" w14:textId="77777777" w:rsidR="00617246" w:rsidRPr="00B03E75" w:rsidRDefault="00617246" w:rsidP="00617246">
            <w:pPr>
              <w:tabs>
                <w:tab w:val="num" w:pos="1080"/>
              </w:tabs>
              <w:rPr>
                <w:rFonts w:cstheme="minorHAnsi"/>
                <w:sz w:val="20"/>
                <w:szCs w:val="20"/>
                <w:highlight w:val="yellow"/>
              </w:rPr>
            </w:pPr>
          </w:p>
        </w:tc>
      </w:tr>
      <w:tr w:rsidR="00617246" w:rsidRPr="00B03E75" w14:paraId="3DD2929F" w14:textId="77777777" w:rsidTr="00E77C74">
        <w:trPr>
          <w:gridAfter w:val="1"/>
          <w:wAfter w:w="6" w:type="dxa"/>
          <w:trHeight w:val="1194"/>
        </w:trPr>
        <w:tc>
          <w:tcPr>
            <w:tcW w:w="1701" w:type="dxa"/>
            <w:vMerge/>
          </w:tcPr>
          <w:p w14:paraId="59B2A66B" w14:textId="77777777" w:rsidR="00617246" w:rsidRPr="002E7BD8" w:rsidRDefault="00617246" w:rsidP="00617246">
            <w:pPr>
              <w:rPr>
                <w:rFonts w:cstheme="minorHAnsi"/>
              </w:rPr>
            </w:pPr>
          </w:p>
        </w:tc>
        <w:tc>
          <w:tcPr>
            <w:tcW w:w="3711" w:type="dxa"/>
          </w:tcPr>
          <w:p w14:paraId="35A72FD0" w14:textId="5CB2D429" w:rsidR="00617246" w:rsidRPr="00617246" w:rsidRDefault="00617246" w:rsidP="00617246">
            <w:pPr>
              <w:rPr>
                <w:rFonts w:cstheme="minorHAnsi"/>
              </w:rPr>
            </w:pPr>
            <w:r>
              <w:rPr>
                <w:rFonts w:cstheme="minorHAnsi"/>
              </w:rPr>
              <w:t xml:space="preserve">C1.3 </w:t>
            </w:r>
            <w:r w:rsidRPr="004A6172">
              <w:rPr>
                <w:rFonts w:cstheme="minorHAnsi"/>
              </w:rPr>
              <w:t>Etablir le bilan Green IT de l’entreprise en analysant et en interprétant les données recueillies pour identifier les leviers d’action possibles.</w:t>
            </w:r>
            <w:r w:rsidRPr="002E7BD8">
              <w:rPr>
                <w:rFonts w:cstheme="minorHAnsi"/>
                <w:b/>
                <w:bCs/>
              </w:rPr>
              <w:t xml:space="preserve">  </w:t>
            </w:r>
          </w:p>
        </w:tc>
        <w:tc>
          <w:tcPr>
            <w:tcW w:w="2410" w:type="dxa"/>
          </w:tcPr>
          <w:p w14:paraId="69E20957" w14:textId="77777777" w:rsidR="00617246" w:rsidRPr="004A6172" w:rsidRDefault="00617246" w:rsidP="00617246">
            <w:pPr>
              <w:jc w:val="both"/>
              <w:rPr>
                <w:rFonts w:cstheme="minorHAnsi"/>
              </w:rPr>
            </w:pPr>
          </w:p>
        </w:tc>
        <w:tc>
          <w:tcPr>
            <w:tcW w:w="2387" w:type="dxa"/>
          </w:tcPr>
          <w:p w14:paraId="1F8D3316" w14:textId="77777777" w:rsidR="00617246" w:rsidRPr="00B03E75" w:rsidRDefault="00617246" w:rsidP="00617246">
            <w:pPr>
              <w:tabs>
                <w:tab w:val="num" w:pos="1080"/>
              </w:tabs>
              <w:rPr>
                <w:rFonts w:cstheme="minorHAnsi"/>
                <w:sz w:val="20"/>
                <w:szCs w:val="20"/>
                <w:highlight w:val="yellow"/>
              </w:rPr>
            </w:pPr>
          </w:p>
        </w:tc>
        <w:tc>
          <w:tcPr>
            <w:tcW w:w="2160" w:type="dxa"/>
          </w:tcPr>
          <w:p w14:paraId="06ED9CBA" w14:textId="77777777" w:rsidR="00617246" w:rsidRPr="00B03E75" w:rsidRDefault="00617246" w:rsidP="00617246">
            <w:pPr>
              <w:tabs>
                <w:tab w:val="num" w:pos="1080"/>
              </w:tabs>
              <w:rPr>
                <w:rFonts w:cstheme="minorHAnsi"/>
                <w:sz w:val="20"/>
                <w:szCs w:val="20"/>
                <w:highlight w:val="yellow"/>
              </w:rPr>
            </w:pPr>
          </w:p>
        </w:tc>
        <w:tc>
          <w:tcPr>
            <w:tcW w:w="2520" w:type="dxa"/>
          </w:tcPr>
          <w:p w14:paraId="64A234DB" w14:textId="77777777" w:rsidR="00617246" w:rsidRPr="00B03E75" w:rsidRDefault="00617246" w:rsidP="00617246">
            <w:pPr>
              <w:tabs>
                <w:tab w:val="num" w:pos="1080"/>
              </w:tabs>
              <w:rPr>
                <w:rFonts w:cstheme="minorHAnsi"/>
                <w:sz w:val="20"/>
                <w:szCs w:val="20"/>
                <w:highlight w:val="yellow"/>
              </w:rPr>
            </w:pPr>
          </w:p>
        </w:tc>
      </w:tr>
      <w:tr w:rsidR="00617246" w:rsidRPr="00B03E75" w14:paraId="7D9F8AAB" w14:textId="77777777" w:rsidTr="00E77C74">
        <w:trPr>
          <w:gridAfter w:val="1"/>
          <w:wAfter w:w="6" w:type="dxa"/>
          <w:trHeight w:val="1194"/>
        </w:trPr>
        <w:tc>
          <w:tcPr>
            <w:tcW w:w="1701" w:type="dxa"/>
            <w:vMerge/>
          </w:tcPr>
          <w:p w14:paraId="5B44FDF2" w14:textId="77777777" w:rsidR="00617246" w:rsidRPr="002E7BD8" w:rsidRDefault="00617246" w:rsidP="00617246">
            <w:pPr>
              <w:rPr>
                <w:rFonts w:cstheme="minorHAnsi"/>
              </w:rPr>
            </w:pPr>
          </w:p>
        </w:tc>
        <w:tc>
          <w:tcPr>
            <w:tcW w:w="3711" w:type="dxa"/>
          </w:tcPr>
          <w:p w14:paraId="00CF1D50" w14:textId="53820954" w:rsidR="00617246" w:rsidRPr="00617246" w:rsidRDefault="00617246" w:rsidP="00617246">
            <w:pPr>
              <w:rPr>
                <w:rFonts w:cstheme="minorHAnsi"/>
              </w:rPr>
            </w:pPr>
            <w:r w:rsidRPr="004A6172">
              <w:rPr>
                <w:rFonts w:cstheme="minorHAnsi"/>
              </w:rPr>
              <w:t xml:space="preserve">C1.4 </w:t>
            </w:r>
            <w:r w:rsidRPr="002E7BD8">
              <w:rPr>
                <w:rFonts w:cstheme="minorHAnsi"/>
              </w:rPr>
              <w:t xml:space="preserve">Restituer le bilan Green IT auprès des donneurs d’ordre en présentant l’état des lieux afin d’éclairer les parties prenantes au regard des constats établis. </w:t>
            </w:r>
          </w:p>
        </w:tc>
        <w:tc>
          <w:tcPr>
            <w:tcW w:w="2410" w:type="dxa"/>
          </w:tcPr>
          <w:p w14:paraId="24A424DC" w14:textId="77777777" w:rsidR="00617246" w:rsidRPr="004A6172" w:rsidRDefault="00617246" w:rsidP="00617246">
            <w:pPr>
              <w:jc w:val="both"/>
              <w:rPr>
                <w:rFonts w:cstheme="minorHAnsi"/>
              </w:rPr>
            </w:pPr>
          </w:p>
        </w:tc>
        <w:tc>
          <w:tcPr>
            <w:tcW w:w="2387" w:type="dxa"/>
          </w:tcPr>
          <w:p w14:paraId="4826D880" w14:textId="77777777" w:rsidR="00617246" w:rsidRPr="00B03E75" w:rsidRDefault="00617246" w:rsidP="00617246">
            <w:pPr>
              <w:tabs>
                <w:tab w:val="num" w:pos="1080"/>
              </w:tabs>
              <w:rPr>
                <w:rFonts w:cstheme="minorHAnsi"/>
                <w:sz w:val="20"/>
                <w:szCs w:val="20"/>
                <w:highlight w:val="yellow"/>
              </w:rPr>
            </w:pPr>
          </w:p>
        </w:tc>
        <w:tc>
          <w:tcPr>
            <w:tcW w:w="2160" w:type="dxa"/>
          </w:tcPr>
          <w:p w14:paraId="154C7DE8" w14:textId="77777777" w:rsidR="00617246" w:rsidRPr="00B03E75" w:rsidRDefault="00617246" w:rsidP="00617246">
            <w:pPr>
              <w:tabs>
                <w:tab w:val="num" w:pos="1080"/>
              </w:tabs>
              <w:rPr>
                <w:rFonts w:cstheme="minorHAnsi"/>
                <w:sz w:val="20"/>
                <w:szCs w:val="20"/>
                <w:highlight w:val="yellow"/>
              </w:rPr>
            </w:pPr>
          </w:p>
        </w:tc>
        <w:tc>
          <w:tcPr>
            <w:tcW w:w="2520" w:type="dxa"/>
          </w:tcPr>
          <w:p w14:paraId="3286EF85" w14:textId="77777777" w:rsidR="00617246" w:rsidRPr="00B03E75" w:rsidRDefault="00617246" w:rsidP="00617246">
            <w:pPr>
              <w:tabs>
                <w:tab w:val="num" w:pos="1080"/>
              </w:tabs>
              <w:rPr>
                <w:rFonts w:cstheme="minorHAnsi"/>
                <w:sz w:val="20"/>
                <w:szCs w:val="20"/>
                <w:highlight w:val="yellow"/>
              </w:rPr>
            </w:pPr>
          </w:p>
        </w:tc>
      </w:tr>
      <w:tr w:rsidR="00617246" w:rsidRPr="00B03E75" w14:paraId="2BF3AC34" w14:textId="77777777" w:rsidTr="003757BA">
        <w:trPr>
          <w:gridAfter w:val="1"/>
          <w:wAfter w:w="6" w:type="dxa"/>
          <w:trHeight w:val="112"/>
        </w:trPr>
        <w:tc>
          <w:tcPr>
            <w:tcW w:w="1701" w:type="dxa"/>
            <w:vMerge w:val="restart"/>
          </w:tcPr>
          <w:p w14:paraId="3A81BFB4" w14:textId="6A08F45B" w:rsidR="00617246" w:rsidRPr="00B03E75" w:rsidRDefault="00617246" w:rsidP="00617246">
            <w:pPr>
              <w:rPr>
                <w:rFonts w:cstheme="minorHAnsi"/>
                <w:bCs/>
                <w:sz w:val="20"/>
                <w:szCs w:val="20"/>
                <w:highlight w:val="yellow"/>
              </w:rPr>
            </w:pPr>
            <w:r w:rsidRPr="002E7BD8">
              <w:rPr>
                <w:rFonts w:cstheme="minorHAnsi"/>
              </w:rPr>
              <w:t>Activité 2 : Formalisation d’un plan d’action stratégique et d’indicateurs de suivi</w:t>
            </w:r>
          </w:p>
        </w:tc>
        <w:tc>
          <w:tcPr>
            <w:tcW w:w="3711" w:type="dxa"/>
          </w:tcPr>
          <w:p w14:paraId="1EA4308A" w14:textId="507DCE62" w:rsidR="00617246" w:rsidRPr="00B03E75" w:rsidRDefault="00617246" w:rsidP="00617246">
            <w:pPr>
              <w:rPr>
                <w:rFonts w:cstheme="minorHAnsi"/>
                <w:sz w:val="20"/>
                <w:szCs w:val="20"/>
                <w:highlight w:val="yellow"/>
              </w:rPr>
            </w:pPr>
            <w:r w:rsidRPr="004A6172">
              <w:rPr>
                <w:rFonts w:cstheme="minorHAnsi"/>
              </w:rPr>
              <w:t xml:space="preserve">C1.5 Elaborer un plan d’action Green IT en se conformant aux résultats du bilan et aux référentiels de bonnes pratiques en vigueur afin de proposer un ordonnancement en cohérence avec la stratégie Green IT. </w:t>
            </w:r>
          </w:p>
        </w:tc>
        <w:tc>
          <w:tcPr>
            <w:tcW w:w="2410" w:type="dxa"/>
          </w:tcPr>
          <w:p w14:paraId="1BE6D0F0" w14:textId="77777777" w:rsidR="00617246" w:rsidRPr="00B03E75" w:rsidRDefault="00617246" w:rsidP="00617246">
            <w:pPr>
              <w:rPr>
                <w:rFonts w:cstheme="minorHAnsi"/>
                <w:sz w:val="20"/>
                <w:szCs w:val="20"/>
                <w:highlight w:val="yellow"/>
              </w:rPr>
            </w:pPr>
          </w:p>
        </w:tc>
        <w:tc>
          <w:tcPr>
            <w:tcW w:w="2387" w:type="dxa"/>
          </w:tcPr>
          <w:p w14:paraId="00EA4083" w14:textId="77777777" w:rsidR="00617246" w:rsidRPr="00B03E75" w:rsidRDefault="00617246" w:rsidP="00617246">
            <w:pPr>
              <w:rPr>
                <w:rFonts w:cstheme="minorHAnsi"/>
                <w:sz w:val="20"/>
                <w:szCs w:val="20"/>
                <w:highlight w:val="yellow"/>
              </w:rPr>
            </w:pPr>
          </w:p>
        </w:tc>
        <w:tc>
          <w:tcPr>
            <w:tcW w:w="2160" w:type="dxa"/>
          </w:tcPr>
          <w:p w14:paraId="35B99358" w14:textId="77777777" w:rsidR="00617246" w:rsidRPr="00B03E75" w:rsidRDefault="00617246" w:rsidP="00617246">
            <w:pPr>
              <w:rPr>
                <w:rFonts w:cstheme="minorHAnsi"/>
                <w:sz w:val="20"/>
                <w:szCs w:val="20"/>
                <w:highlight w:val="yellow"/>
              </w:rPr>
            </w:pPr>
          </w:p>
        </w:tc>
        <w:tc>
          <w:tcPr>
            <w:tcW w:w="2520" w:type="dxa"/>
          </w:tcPr>
          <w:p w14:paraId="2B5661D3" w14:textId="77777777" w:rsidR="00617246" w:rsidRPr="00B03E75" w:rsidRDefault="00617246" w:rsidP="00617246">
            <w:pPr>
              <w:rPr>
                <w:rFonts w:cstheme="minorHAnsi"/>
                <w:sz w:val="20"/>
                <w:szCs w:val="20"/>
                <w:highlight w:val="yellow"/>
              </w:rPr>
            </w:pPr>
          </w:p>
        </w:tc>
      </w:tr>
      <w:tr w:rsidR="00617246" w:rsidRPr="00B03E75" w14:paraId="7927A698" w14:textId="77777777" w:rsidTr="003757BA">
        <w:trPr>
          <w:gridAfter w:val="1"/>
          <w:wAfter w:w="6" w:type="dxa"/>
          <w:trHeight w:val="112"/>
        </w:trPr>
        <w:tc>
          <w:tcPr>
            <w:tcW w:w="1701" w:type="dxa"/>
            <w:vMerge/>
          </w:tcPr>
          <w:p w14:paraId="585F371E" w14:textId="77777777" w:rsidR="00617246" w:rsidRPr="00B03E75" w:rsidRDefault="00617246" w:rsidP="00617246">
            <w:pPr>
              <w:rPr>
                <w:rFonts w:cstheme="minorHAnsi"/>
                <w:bCs/>
                <w:sz w:val="20"/>
                <w:szCs w:val="20"/>
                <w:highlight w:val="yellow"/>
              </w:rPr>
            </w:pPr>
          </w:p>
        </w:tc>
        <w:tc>
          <w:tcPr>
            <w:tcW w:w="3711" w:type="dxa"/>
          </w:tcPr>
          <w:p w14:paraId="57D25E73" w14:textId="3EA52C68" w:rsidR="00617246" w:rsidRPr="00B03E75" w:rsidRDefault="00617246" w:rsidP="00617246">
            <w:pPr>
              <w:rPr>
                <w:rFonts w:cstheme="minorHAnsi"/>
                <w:sz w:val="20"/>
                <w:szCs w:val="20"/>
                <w:highlight w:val="yellow"/>
              </w:rPr>
            </w:pPr>
            <w:r w:rsidRPr="004A6172">
              <w:rPr>
                <w:rFonts w:cstheme="minorHAnsi"/>
              </w:rPr>
              <w:t xml:space="preserve">C1.6 </w:t>
            </w:r>
            <w:r w:rsidRPr="002E7BD8">
              <w:rPr>
                <w:rFonts w:cstheme="minorHAnsi"/>
              </w:rPr>
              <w:t xml:space="preserve">Valider l’opérationnalité du plan d’action Green IT avec les équipes techniques en y apportant les ajustements nécessaires pour lever les freins et garantir l’atteinte des objectifs. </w:t>
            </w:r>
          </w:p>
        </w:tc>
        <w:tc>
          <w:tcPr>
            <w:tcW w:w="2410" w:type="dxa"/>
          </w:tcPr>
          <w:p w14:paraId="3C7E58D7" w14:textId="77777777" w:rsidR="00617246" w:rsidRPr="00B03E75" w:rsidRDefault="00617246" w:rsidP="00617246">
            <w:pPr>
              <w:rPr>
                <w:rFonts w:cstheme="minorHAnsi"/>
                <w:sz w:val="20"/>
                <w:szCs w:val="20"/>
                <w:highlight w:val="yellow"/>
              </w:rPr>
            </w:pPr>
          </w:p>
        </w:tc>
        <w:tc>
          <w:tcPr>
            <w:tcW w:w="2387" w:type="dxa"/>
          </w:tcPr>
          <w:p w14:paraId="5622FBA2" w14:textId="77777777" w:rsidR="00617246" w:rsidRPr="00B03E75" w:rsidRDefault="00617246" w:rsidP="00617246">
            <w:pPr>
              <w:rPr>
                <w:rFonts w:cstheme="minorHAnsi"/>
                <w:sz w:val="20"/>
                <w:szCs w:val="20"/>
                <w:highlight w:val="yellow"/>
              </w:rPr>
            </w:pPr>
          </w:p>
        </w:tc>
        <w:tc>
          <w:tcPr>
            <w:tcW w:w="2160" w:type="dxa"/>
          </w:tcPr>
          <w:p w14:paraId="171C534A" w14:textId="77777777" w:rsidR="00617246" w:rsidRPr="00B03E75" w:rsidRDefault="00617246" w:rsidP="00617246">
            <w:pPr>
              <w:rPr>
                <w:rFonts w:cstheme="minorHAnsi"/>
                <w:sz w:val="20"/>
                <w:szCs w:val="20"/>
                <w:highlight w:val="yellow"/>
              </w:rPr>
            </w:pPr>
          </w:p>
        </w:tc>
        <w:tc>
          <w:tcPr>
            <w:tcW w:w="2520" w:type="dxa"/>
          </w:tcPr>
          <w:p w14:paraId="34B404C4" w14:textId="77777777" w:rsidR="00617246" w:rsidRPr="00B03E75" w:rsidRDefault="00617246" w:rsidP="00617246">
            <w:pPr>
              <w:rPr>
                <w:rFonts w:cstheme="minorHAnsi"/>
                <w:sz w:val="20"/>
                <w:szCs w:val="20"/>
                <w:highlight w:val="yellow"/>
              </w:rPr>
            </w:pPr>
          </w:p>
        </w:tc>
      </w:tr>
      <w:tr w:rsidR="00617246" w:rsidRPr="00B03E75" w14:paraId="5B227BA6" w14:textId="77777777" w:rsidTr="003757BA">
        <w:trPr>
          <w:gridAfter w:val="1"/>
          <w:wAfter w:w="6" w:type="dxa"/>
          <w:trHeight w:val="112"/>
        </w:trPr>
        <w:tc>
          <w:tcPr>
            <w:tcW w:w="1701" w:type="dxa"/>
            <w:vMerge/>
          </w:tcPr>
          <w:p w14:paraId="280B8DFD" w14:textId="77777777" w:rsidR="00617246" w:rsidRPr="00B03E75" w:rsidRDefault="00617246" w:rsidP="00617246">
            <w:pPr>
              <w:rPr>
                <w:rFonts w:cstheme="minorHAnsi"/>
                <w:bCs/>
                <w:sz w:val="20"/>
                <w:szCs w:val="20"/>
                <w:highlight w:val="yellow"/>
              </w:rPr>
            </w:pPr>
          </w:p>
        </w:tc>
        <w:tc>
          <w:tcPr>
            <w:tcW w:w="3711" w:type="dxa"/>
          </w:tcPr>
          <w:p w14:paraId="5E52F807" w14:textId="61A56C25" w:rsidR="00617246" w:rsidRPr="00B03E75" w:rsidRDefault="00617246" w:rsidP="00617246">
            <w:pPr>
              <w:rPr>
                <w:rFonts w:cstheme="minorHAnsi"/>
                <w:sz w:val="20"/>
                <w:szCs w:val="20"/>
                <w:highlight w:val="yellow"/>
              </w:rPr>
            </w:pPr>
            <w:r w:rsidRPr="004A6172">
              <w:rPr>
                <w:rFonts w:cstheme="minorHAnsi"/>
              </w:rPr>
              <w:t>C1.7 Définir des indicateurs Green IT en s’appuyant sur des référentiels de bonnes pratiques afin de pouvoir suivre la réalisation du plan d’action et l’évolution de la mesure d’empreinte dans la durée.</w:t>
            </w:r>
          </w:p>
        </w:tc>
        <w:tc>
          <w:tcPr>
            <w:tcW w:w="2410" w:type="dxa"/>
          </w:tcPr>
          <w:p w14:paraId="30020B92" w14:textId="77777777" w:rsidR="00617246" w:rsidRPr="00B03E75" w:rsidRDefault="00617246" w:rsidP="00617246">
            <w:pPr>
              <w:rPr>
                <w:rFonts w:cstheme="minorHAnsi"/>
                <w:sz w:val="20"/>
                <w:szCs w:val="20"/>
                <w:highlight w:val="yellow"/>
              </w:rPr>
            </w:pPr>
          </w:p>
        </w:tc>
        <w:tc>
          <w:tcPr>
            <w:tcW w:w="2387" w:type="dxa"/>
          </w:tcPr>
          <w:p w14:paraId="5982B083" w14:textId="77777777" w:rsidR="00617246" w:rsidRPr="00B03E75" w:rsidRDefault="00617246" w:rsidP="00617246">
            <w:pPr>
              <w:rPr>
                <w:rFonts w:cstheme="minorHAnsi"/>
                <w:sz w:val="20"/>
                <w:szCs w:val="20"/>
                <w:highlight w:val="yellow"/>
              </w:rPr>
            </w:pPr>
          </w:p>
        </w:tc>
        <w:tc>
          <w:tcPr>
            <w:tcW w:w="2160" w:type="dxa"/>
          </w:tcPr>
          <w:p w14:paraId="05BA6E94" w14:textId="77777777" w:rsidR="00617246" w:rsidRPr="00B03E75" w:rsidRDefault="00617246" w:rsidP="00617246">
            <w:pPr>
              <w:rPr>
                <w:rFonts w:cstheme="minorHAnsi"/>
                <w:sz w:val="20"/>
                <w:szCs w:val="20"/>
                <w:highlight w:val="yellow"/>
              </w:rPr>
            </w:pPr>
          </w:p>
        </w:tc>
        <w:tc>
          <w:tcPr>
            <w:tcW w:w="2520" w:type="dxa"/>
          </w:tcPr>
          <w:p w14:paraId="5C30E733" w14:textId="77777777" w:rsidR="00617246" w:rsidRPr="00B03E75" w:rsidRDefault="00617246" w:rsidP="00617246">
            <w:pPr>
              <w:rPr>
                <w:rFonts w:cstheme="minorHAnsi"/>
                <w:sz w:val="20"/>
                <w:szCs w:val="20"/>
                <w:highlight w:val="yellow"/>
              </w:rPr>
            </w:pPr>
          </w:p>
        </w:tc>
      </w:tr>
      <w:tr w:rsidR="00617246" w:rsidRPr="00B03E75" w14:paraId="57B40E73" w14:textId="77777777" w:rsidTr="003757BA">
        <w:trPr>
          <w:gridAfter w:val="1"/>
          <w:wAfter w:w="6" w:type="dxa"/>
          <w:trHeight w:val="112"/>
        </w:trPr>
        <w:tc>
          <w:tcPr>
            <w:tcW w:w="1701" w:type="dxa"/>
            <w:vMerge w:val="restart"/>
          </w:tcPr>
          <w:p w14:paraId="0BE4E457" w14:textId="0DDF2068" w:rsidR="00617246" w:rsidRPr="00B03E75" w:rsidRDefault="00617246" w:rsidP="00617246">
            <w:pPr>
              <w:rPr>
                <w:rFonts w:cstheme="minorHAnsi"/>
                <w:bCs/>
                <w:sz w:val="20"/>
                <w:szCs w:val="20"/>
                <w:highlight w:val="yellow"/>
              </w:rPr>
            </w:pPr>
            <w:r w:rsidRPr="00413F3B">
              <w:rPr>
                <w:rFonts w:cstheme="minorHAnsi"/>
              </w:rPr>
              <w:t>Activité 3 : Alignement du plan d’action Green IT sur la stratégie RSE de l’entreprise et validation</w:t>
            </w:r>
          </w:p>
        </w:tc>
        <w:tc>
          <w:tcPr>
            <w:tcW w:w="3711" w:type="dxa"/>
          </w:tcPr>
          <w:p w14:paraId="6718937A" w14:textId="43EAFB9D" w:rsidR="00617246" w:rsidRPr="00B03E75" w:rsidRDefault="00617246" w:rsidP="00617246">
            <w:pPr>
              <w:rPr>
                <w:rFonts w:cstheme="minorHAnsi"/>
                <w:sz w:val="20"/>
                <w:szCs w:val="20"/>
                <w:highlight w:val="yellow"/>
              </w:rPr>
            </w:pPr>
            <w:r w:rsidRPr="004A6172">
              <w:rPr>
                <w:rFonts w:cstheme="minorHAnsi"/>
              </w:rPr>
              <w:t xml:space="preserve">C1.8 </w:t>
            </w:r>
            <w:r w:rsidRPr="00413F3B">
              <w:rPr>
                <w:rFonts w:cstheme="minorHAnsi"/>
              </w:rPr>
              <w:t xml:space="preserve">Identifier les objectifs de développement durable de l’entreprise sur la base de la stratégie et les indicateurs RSE en vue de garantir leur cohérence avec le plan d’action Green IT. </w:t>
            </w:r>
          </w:p>
        </w:tc>
        <w:tc>
          <w:tcPr>
            <w:tcW w:w="2410" w:type="dxa"/>
          </w:tcPr>
          <w:p w14:paraId="34DEA02A" w14:textId="77777777" w:rsidR="00617246" w:rsidRPr="00B03E75" w:rsidRDefault="00617246" w:rsidP="00617246">
            <w:pPr>
              <w:rPr>
                <w:rFonts w:cstheme="minorHAnsi"/>
                <w:sz w:val="20"/>
                <w:szCs w:val="20"/>
                <w:highlight w:val="yellow"/>
              </w:rPr>
            </w:pPr>
          </w:p>
        </w:tc>
        <w:tc>
          <w:tcPr>
            <w:tcW w:w="2387" w:type="dxa"/>
          </w:tcPr>
          <w:p w14:paraId="5BB333DD" w14:textId="77777777" w:rsidR="00617246" w:rsidRPr="00B03E75" w:rsidRDefault="00617246" w:rsidP="00617246">
            <w:pPr>
              <w:rPr>
                <w:rFonts w:cstheme="minorHAnsi"/>
                <w:sz w:val="20"/>
                <w:szCs w:val="20"/>
                <w:highlight w:val="yellow"/>
              </w:rPr>
            </w:pPr>
          </w:p>
        </w:tc>
        <w:tc>
          <w:tcPr>
            <w:tcW w:w="2160" w:type="dxa"/>
          </w:tcPr>
          <w:p w14:paraId="04D97F81" w14:textId="77777777" w:rsidR="00617246" w:rsidRPr="00B03E75" w:rsidRDefault="00617246" w:rsidP="00617246">
            <w:pPr>
              <w:rPr>
                <w:rFonts w:cstheme="minorHAnsi"/>
                <w:sz w:val="20"/>
                <w:szCs w:val="20"/>
                <w:highlight w:val="yellow"/>
              </w:rPr>
            </w:pPr>
          </w:p>
        </w:tc>
        <w:tc>
          <w:tcPr>
            <w:tcW w:w="2520" w:type="dxa"/>
          </w:tcPr>
          <w:p w14:paraId="26FD1FA7" w14:textId="77777777" w:rsidR="00617246" w:rsidRPr="00B03E75" w:rsidRDefault="00617246" w:rsidP="00617246">
            <w:pPr>
              <w:rPr>
                <w:rFonts w:cstheme="minorHAnsi"/>
                <w:sz w:val="20"/>
                <w:szCs w:val="20"/>
                <w:highlight w:val="yellow"/>
              </w:rPr>
            </w:pPr>
          </w:p>
        </w:tc>
      </w:tr>
      <w:tr w:rsidR="00617246" w:rsidRPr="00B03E75" w14:paraId="0B2A5773" w14:textId="77777777" w:rsidTr="003757BA">
        <w:trPr>
          <w:gridAfter w:val="1"/>
          <w:wAfter w:w="6" w:type="dxa"/>
          <w:trHeight w:val="112"/>
        </w:trPr>
        <w:tc>
          <w:tcPr>
            <w:tcW w:w="1701" w:type="dxa"/>
            <w:vMerge/>
          </w:tcPr>
          <w:p w14:paraId="3390583E" w14:textId="77777777" w:rsidR="00617246" w:rsidRPr="00B03E75" w:rsidRDefault="00617246" w:rsidP="00617246">
            <w:pPr>
              <w:rPr>
                <w:rFonts w:cstheme="minorHAnsi"/>
                <w:bCs/>
                <w:sz w:val="20"/>
                <w:szCs w:val="20"/>
                <w:highlight w:val="yellow"/>
              </w:rPr>
            </w:pPr>
          </w:p>
        </w:tc>
        <w:tc>
          <w:tcPr>
            <w:tcW w:w="3711" w:type="dxa"/>
          </w:tcPr>
          <w:p w14:paraId="43961CE3" w14:textId="28C39AF7" w:rsidR="00617246" w:rsidRPr="00B03E75" w:rsidRDefault="00617246" w:rsidP="00617246">
            <w:pPr>
              <w:rPr>
                <w:rFonts w:cstheme="minorHAnsi"/>
                <w:sz w:val="20"/>
                <w:szCs w:val="20"/>
                <w:highlight w:val="yellow"/>
              </w:rPr>
            </w:pPr>
            <w:r w:rsidRPr="004A6172">
              <w:rPr>
                <w:rFonts w:cstheme="minorHAnsi"/>
              </w:rPr>
              <w:t xml:space="preserve">C1.9 </w:t>
            </w:r>
            <w:r w:rsidRPr="00413F3B">
              <w:rPr>
                <w:rFonts w:cstheme="minorHAnsi"/>
              </w:rPr>
              <w:t>Présenter le plan d’action Green IT auprès des donneurs d’ordre en alliant les gains environnementaux et sociaux aux intérêts économiques afin de valider le cap stratégique à suivre en termes d’objectifs.</w:t>
            </w:r>
          </w:p>
        </w:tc>
        <w:tc>
          <w:tcPr>
            <w:tcW w:w="2410" w:type="dxa"/>
          </w:tcPr>
          <w:p w14:paraId="70DF0C8D" w14:textId="77777777" w:rsidR="00617246" w:rsidRPr="00B03E75" w:rsidRDefault="00617246" w:rsidP="00617246">
            <w:pPr>
              <w:rPr>
                <w:rFonts w:cstheme="minorHAnsi"/>
                <w:sz w:val="20"/>
                <w:szCs w:val="20"/>
                <w:highlight w:val="yellow"/>
              </w:rPr>
            </w:pPr>
          </w:p>
        </w:tc>
        <w:tc>
          <w:tcPr>
            <w:tcW w:w="2387" w:type="dxa"/>
          </w:tcPr>
          <w:p w14:paraId="37F16021" w14:textId="77777777" w:rsidR="00617246" w:rsidRPr="00B03E75" w:rsidRDefault="00617246" w:rsidP="00617246">
            <w:pPr>
              <w:rPr>
                <w:rFonts w:cstheme="minorHAnsi"/>
                <w:sz w:val="20"/>
                <w:szCs w:val="20"/>
                <w:highlight w:val="yellow"/>
              </w:rPr>
            </w:pPr>
          </w:p>
        </w:tc>
        <w:tc>
          <w:tcPr>
            <w:tcW w:w="2160" w:type="dxa"/>
          </w:tcPr>
          <w:p w14:paraId="4201A2D6" w14:textId="77777777" w:rsidR="00617246" w:rsidRPr="00B03E75" w:rsidRDefault="00617246" w:rsidP="00617246">
            <w:pPr>
              <w:rPr>
                <w:rFonts w:cstheme="minorHAnsi"/>
                <w:sz w:val="20"/>
                <w:szCs w:val="20"/>
                <w:highlight w:val="yellow"/>
              </w:rPr>
            </w:pPr>
          </w:p>
        </w:tc>
        <w:tc>
          <w:tcPr>
            <w:tcW w:w="2520" w:type="dxa"/>
          </w:tcPr>
          <w:p w14:paraId="53D0C535" w14:textId="77777777" w:rsidR="00617246" w:rsidRPr="00B03E75" w:rsidRDefault="00617246" w:rsidP="00617246">
            <w:pPr>
              <w:rPr>
                <w:rFonts w:cstheme="minorHAnsi"/>
                <w:sz w:val="20"/>
                <w:szCs w:val="20"/>
                <w:highlight w:val="yellow"/>
              </w:rPr>
            </w:pPr>
          </w:p>
        </w:tc>
      </w:tr>
    </w:tbl>
    <w:p w14:paraId="2DB1C621" w14:textId="77777777" w:rsidR="00CF2A52" w:rsidRPr="00B03E75" w:rsidRDefault="00CF2A52">
      <w:pPr>
        <w:rPr>
          <w:highlight w:val="yellow"/>
        </w:rPr>
      </w:pPr>
      <w:r w:rsidRPr="00B03E75">
        <w:rPr>
          <w:highlight w:val="yellow"/>
        </w:rPr>
        <w:br w:type="page"/>
      </w:r>
    </w:p>
    <w:tbl>
      <w:tblPr>
        <w:tblStyle w:val="Grilledutableau"/>
        <w:tblW w:w="14895" w:type="dxa"/>
        <w:tblInd w:w="-5" w:type="dxa"/>
        <w:tblLayout w:type="fixed"/>
        <w:tblLook w:val="04A0" w:firstRow="1" w:lastRow="0" w:firstColumn="1" w:lastColumn="0" w:noHBand="0" w:noVBand="1"/>
      </w:tblPr>
      <w:tblGrid>
        <w:gridCol w:w="1701"/>
        <w:gridCol w:w="3711"/>
        <w:gridCol w:w="2410"/>
        <w:gridCol w:w="2387"/>
        <w:gridCol w:w="2160"/>
        <w:gridCol w:w="2520"/>
        <w:gridCol w:w="6"/>
      </w:tblGrid>
      <w:tr w:rsidR="003757BA" w:rsidRPr="00B03E75" w14:paraId="7A1B7705" w14:textId="77777777" w:rsidTr="00311C3C">
        <w:trPr>
          <w:trHeight w:val="112"/>
        </w:trPr>
        <w:tc>
          <w:tcPr>
            <w:tcW w:w="14895" w:type="dxa"/>
            <w:gridSpan w:val="7"/>
            <w:shd w:val="clear" w:color="auto" w:fill="E7E6E6" w:themeFill="background2"/>
          </w:tcPr>
          <w:p w14:paraId="03934282" w14:textId="03E3A7A9" w:rsidR="007C4711" w:rsidRPr="00B03E75" w:rsidRDefault="0040486E" w:rsidP="007C4711">
            <w:pPr>
              <w:jc w:val="both"/>
              <w:rPr>
                <w:rFonts w:cstheme="minorHAnsi"/>
                <w:sz w:val="20"/>
                <w:szCs w:val="20"/>
              </w:rPr>
            </w:pPr>
            <w:r w:rsidRPr="004A6172">
              <w:rPr>
                <w:rFonts w:cstheme="minorHAnsi"/>
                <w:b/>
                <w:bCs/>
              </w:rPr>
              <w:lastRenderedPageBreak/>
              <w:t>BLOC 2 – Piloter une démarche Green IT à l’échelle d’un projet</w:t>
            </w:r>
          </w:p>
          <w:p w14:paraId="6630D2FF" w14:textId="15685D5D" w:rsidR="003757BA" w:rsidRPr="00B03E75" w:rsidRDefault="003757BA" w:rsidP="00484A9D">
            <w:pPr>
              <w:jc w:val="both"/>
              <w:rPr>
                <w:rFonts w:cstheme="minorHAnsi"/>
                <w:sz w:val="20"/>
                <w:szCs w:val="20"/>
                <w:highlight w:val="yellow"/>
              </w:rPr>
            </w:pPr>
          </w:p>
        </w:tc>
      </w:tr>
      <w:tr w:rsidR="0040486E" w:rsidRPr="00B03E75" w14:paraId="59BC19CC" w14:textId="77777777" w:rsidTr="003757BA">
        <w:trPr>
          <w:gridAfter w:val="1"/>
          <w:wAfter w:w="6" w:type="dxa"/>
          <w:trHeight w:val="112"/>
        </w:trPr>
        <w:tc>
          <w:tcPr>
            <w:tcW w:w="1701" w:type="dxa"/>
          </w:tcPr>
          <w:p w14:paraId="0215CFB6" w14:textId="77777777" w:rsidR="0040486E" w:rsidRPr="00413F3B" w:rsidRDefault="0040486E" w:rsidP="0040486E">
            <w:pPr>
              <w:rPr>
                <w:rFonts w:cstheme="minorHAnsi"/>
              </w:rPr>
            </w:pPr>
            <w:r w:rsidRPr="00413F3B">
              <w:rPr>
                <w:rFonts w:cstheme="minorHAnsi"/>
              </w:rPr>
              <w:t xml:space="preserve">Activité 1 : </w:t>
            </w:r>
            <w:bookmarkStart w:id="0" w:name="_Hlk179996579"/>
            <w:r w:rsidRPr="00413F3B">
              <w:rPr>
                <w:rFonts w:cstheme="minorHAnsi"/>
              </w:rPr>
              <w:t>Déploiement du plan d’action Green IT et mobilisation des parties prenantes</w:t>
            </w:r>
            <w:bookmarkEnd w:id="0"/>
          </w:p>
          <w:p w14:paraId="14D4DE07" w14:textId="3752E487" w:rsidR="0040486E" w:rsidRPr="00B03E75" w:rsidRDefault="0040486E" w:rsidP="0040486E">
            <w:pPr>
              <w:rPr>
                <w:rFonts w:cstheme="minorHAnsi"/>
                <w:bCs/>
                <w:sz w:val="20"/>
                <w:szCs w:val="20"/>
                <w:highlight w:val="yellow"/>
              </w:rPr>
            </w:pPr>
          </w:p>
        </w:tc>
        <w:tc>
          <w:tcPr>
            <w:tcW w:w="3711" w:type="dxa"/>
          </w:tcPr>
          <w:p w14:paraId="45565C47" w14:textId="142A4510" w:rsidR="0040486E" w:rsidRPr="00B03E75" w:rsidRDefault="0040486E" w:rsidP="0040486E">
            <w:pPr>
              <w:rPr>
                <w:rFonts w:cstheme="minorHAnsi"/>
                <w:sz w:val="20"/>
                <w:szCs w:val="20"/>
                <w:highlight w:val="yellow"/>
              </w:rPr>
            </w:pPr>
            <w:r w:rsidRPr="004A6172">
              <w:rPr>
                <w:rFonts w:cstheme="minorHAnsi"/>
              </w:rPr>
              <w:t xml:space="preserve">C2.1 </w:t>
            </w:r>
            <w:r w:rsidRPr="00413F3B">
              <w:rPr>
                <w:rFonts w:cstheme="minorHAnsi"/>
              </w:rPr>
              <w:t>Développer une filière interne de référents techniques Green IT en mettant en place des actions d’accompagnement afin de garantir leur mise à niveau et l’efficacité du déploiement du plan d’action.</w:t>
            </w:r>
          </w:p>
        </w:tc>
        <w:tc>
          <w:tcPr>
            <w:tcW w:w="2410" w:type="dxa"/>
          </w:tcPr>
          <w:p w14:paraId="1D1EF04E" w14:textId="77777777" w:rsidR="0040486E" w:rsidRPr="00B03E75" w:rsidRDefault="0040486E" w:rsidP="0040486E">
            <w:pPr>
              <w:rPr>
                <w:rFonts w:cstheme="minorHAnsi"/>
                <w:sz w:val="20"/>
                <w:szCs w:val="20"/>
                <w:highlight w:val="yellow"/>
              </w:rPr>
            </w:pPr>
          </w:p>
        </w:tc>
        <w:tc>
          <w:tcPr>
            <w:tcW w:w="2387" w:type="dxa"/>
          </w:tcPr>
          <w:p w14:paraId="46F59203" w14:textId="77777777" w:rsidR="0040486E" w:rsidRPr="00B03E75" w:rsidRDefault="0040486E" w:rsidP="0040486E">
            <w:pPr>
              <w:rPr>
                <w:rFonts w:cstheme="minorHAnsi"/>
                <w:sz w:val="20"/>
                <w:szCs w:val="20"/>
                <w:highlight w:val="yellow"/>
              </w:rPr>
            </w:pPr>
          </w:p>
        </w:tc>
        <w:tc>
          <w:tcPr>
            <w:tcW w:w="2160" w:type="dxa"/>
          </w:tcPr>
          <w:p w14:paraId="55EF6756" w14:textId="77777777" w:rsidR="0040486E" w:rsidRPr="00B03E75" w:rsidRDefault="0040486E" w:rsidP="0040486E">
            <w:pPr>
              <w:rPr>
                <w:rFonts w:cstheme="minorHAnsi"/>
                <w:sz w:val="20"/>
                <w:szCs w:val="20"/>
                <w:highlight w:val="yellow"/>
              </w:rPr>
            </w:pPr>
          </w:p>
        </w:tc>
        <w:tc>
          <w:tcPr>
            <w:tcW w:w="2520" w:type="dxa"/>
          </w:tcPr>
          <w:p w14:paraId="5C5C3DCF" w14:textId="77777777" w:rsidR="0040486E" w:rsidRPr="00B03E75" w:rsidRDefault="0040486E" w:rsidP="0040486E">
            <w:pPr>
              <w:rPr>
                <w:rFonts w:cstheme="minorHAnsi"/>
                <w:sz w:val="20"/>
                <w:szCs w:val="20"/>
                <w:highlight w:val="yellow"/>
              </w:rPr>
            </w:pPr>
          </w:p>
        </w:tc>
      </w:tr>
      <w:tr w:rsidR="0040486E" w:rsidRPr="00B03E75" w14:paraId="73CEF6AA" w14:textId="77777777" w:rsidTr="003757BA">
        <w:trPr>
          <w:gridAfter w:val="1"/>
          <w:wAfter w:w="6" w:type="dxa"/>
          <w:trHeight w:val="112"/>
        </w:trPr>
        <w:tc>
          <w:tcPr>
            <w:tcW w:w="1701" w:type="dxa"/>
          </w:tcPr>
          <w:p w14:paraId="191EE358" w14:textId="5C1CFB58" w:rsidR="0040486E" w:rsidRPr="00B03E75" w:rsidRDefault="0040486E" w:rsidP="0040486E">
            <w:pPr>
              <w:rPr>
                <w:rFonts w:cstheme="minorHAnsi"/>
                <w:bCs/>
                <w:sz w:val="20"/>
                <w:szCs w:val="20"/>
                <w:highlight w:val="yellow"/>
              </w:rPr>
            </w:pPr>
          </w:p>
        </w:tc>
        <w:tc>
          <w:tcPr>
            <w:tcW w:w="3711" w:type="dxa"/>
          </w:tcPr>
          <w:p w14:paraId="5104665B" w14:textId="32822985" w:rsidR="0040486E" w:rsidRPr="00B03E75" w:rsidRDefault="0040486E" w:rsidP="0040486E">
            <w:pPr>
              <w:rPr>
                <w:rFonts w:cstheme="minorHAnsi"/>
                <w:sz w:val="20"/>
                <w:szCs w:val="20"/>
                <w:highlight w:val="yellow"/>
              </w:rPr>
            </w:pPr>
            <w:r w:rsidRPr="004A6172">
              <w:rPr>
                <w:rFonts w:cstheme="minorHAnsi"/>
              </w:rPr>
              <w:t xml:space="preserve">C2.2 </w:t>
            </w:r>
            <w:r w:rsidRPr="00413F3B">
              <w:rPr>
                <w:rFonts w:cstheme="minorHAnsi"/>
              </w:rPr>
              <w:t>Conseiller les parties prenantes internes à l’entreprise sur le choix d’un partenaire ou d’une solution en évaluant leurs besoins afin de garantir l’adéquation des propositions avec leurs objectifs stratégiques et opérationnels.</w:t>
            </w:r>
          </w:p>
        </w:tc>
        <w:tc>
          <w:tcPr>
            <w:tcW w:w="2410" w:type="dxa"/>
          </w:tcPr>
          <w:p w14:paraId="30D7A486" w14:textId="77777777" w:rsidR="0040486E" w:rsidRPr="00B03E75" w:rsidRDefault="0040486E" w:rsidP="0040486E">
            <w:pPr>
              <w:rPr>
                <w:rFonts w:cstheme="minorHAnsi"/>
                <w:sz w:val="20"/>
                <w:szCs w:val="20"/>
                <w:highlight w:val="yellow"/>
              </w:rPr>
            </w:pPr>
          </w:p>
        </w:tc>
        <w:tc>
          <w:tcPr>
            <w:tcW w:w="2387" w:type="dxa"/>
          </w:tcPr>
          <w:p w14:paraId="5BCF7EFF" w14:textId="77777777" w:rsidR="0040486E" w:rsidRPr="00B03E75" w:rsidRDefault="0040486E" w:rsidP="0040486E">
            <w:pPr>
              <w:rPr>
                <w:rFonts w:cstheme="minorHAnsi"/>
                <w:sz w:val="20"/>
                <w:szCs w:val="20"/>
                <w:highlight w:val="yellow"/>
              </w:rPr>
            </w:pPr>
          </w:p>
        </w:tc>
        <w:tc>
          <w:tcPr>
            <w:tcW w:w="2160" w:type="dxa"/>
          </w:tcPr>
          <w:p w14:paraId="4247E011" w14:textId="77777777" w:rsidR="0040486E" w:rsidRPr="00B03E75" w:rsidRDefault="0040486E" w:rsidP="0040486E">
            <w:pPr>
              <w:rPr>
                <w:rFonts w:cstheme="minorHAnsi"/>
                <w:sz w:val="20"/>
                <w:szCs w:val="20"/>
                <w:highlight w:val="yellow"/>
              </w:rPr>
            </w:pPr>
          </w:p>
        </w:tc>
        <w:tc>
          <w:tcPr>
            <w:tcW w:w="2520" w:type="dxa"/>
          </w:tcPr>
          <w:p w14:paraId="5A6BC770" w14:textId="77777777" w:rsidR="0040486E" w:rsidRPr="00B03E75" w:rsidRDefault="0040486E" w:rsidP="0040486E">
            <w:pPr>
              <w:rPr>
                <w:rFonts w:cstheme="minorHAnsi"/>
                <w:sz w:val="20"/>
                <w:szCs w:val="20"/>
                <w:highlight w:val="yellow"/>
              </w:rPr>
            </w:pPr>
          </w:p>
        </w:tc>
      </w:tr>
      <w:tr w:rsidR="0040486E" w:rsidRPr="00B03E75" w14:paraId="2B13AAE8" w14:textId="77777777" w:rsidTr="003757BA">
        <w:trPr>
          <w:gridAfter w:val="1"/>
          <w:wAfter w:w="6" w:type="dxa"/>
          <w:trHeight w:val="112"/>
        </w:trPr>
        <w:tc>
          <w:tcPr>
            <w:tcW w:w="1701" w:type="dxa"/>
          </w:tcPr>
          <w:p w14:paraId="6859371A" w14:textId="5EE34E9C" w:rsidR="0040486E" w:rsidRPr="00B03E75" w:rsidRDefault="0040486E" w:rsidP="0040486E">
            <w:pPr>
              <w:rPr>
                <w:rFonts w:cstheme="minorHAnsi"/>
                <w:bCs/>
                <w:sz w:val="20"/>
                <w:szCs w:val="20"/>
                <w:highlight w:val="yellow"/>
              </w:rPr>
            </w:pPr>
          </w:p>
        </w:tc>
        <w:tc>
          <w:tcPr>
            <w:tcW w:w="3711" w:type="dxa"/>
          </w:tcPr>
          <w:p w14:paraId="41A3E0DF" w14:textId="2BE060AB" w:rsidR="0040486E" w:rsidRPr="00B03E75" w:rsidRDefault="0040486E" w:rsidP="0040486E">
            <w:pPr>
              <w:rPr>
                <w:rFonts w:cstheme="minorHAnsi"/>
                <w:sz w:val="20"/>
                <w:szCs w:val="20"/>
                <w:highlight w:val="yellow"/>
              </w:rPr>
            </w:pPr>
            <w:r w:rsidRPr="004A6172">
              <w:rPr>
                <w:rFonts w:cstheme="minorHAnsi"/>
              </w:rPr>
              <w:t xml:space="preserve">C2.3 </w:t>
            </w:r>
            <w:r w:rsidRPr="00413F3B">
              <w:rPr>
                <w:rFonts w:cstheme="minorHAnsi"/>
              </w:rPr>
              <w:t>Collaborer avec les services achats de l'entreprise en intégrant des critères de durabilité, d’éco-conception et de responsabilité sociale dans le processus d’approvisionnement afin de faire évoluer les pratiques vers des achats informatiques plus responsables.</w:t>
            </w:r>
          </w:p>
        </w:tc>
        <w:tc>
          <w:tcPr>
            <w:tcW w:w="2410" w:type="dxa"/>
          </w:tcPr>
          <w:p w14:paraId="46F6B197" w14:textId="77777777" w:rsidR="0040486E" w:rsidRPr="00B03E75" w:rsidRDefault="0040486E" w:rsidP="0040486E">
            <w:pPr>
              <w:rPr>
                <w:rFonts w:cstheme="minorHAnsi"/>
                <w:sz w:val="20"/>
                <w:szCs w:val="20"/>
                <w:highlight w:val="yellow"/>
              </w:rPr>
            </w:pPr>
          </w:p>
        </w:tc>
        <w:tc>
          <w:tcPr>
            <w:tcW w:w="2387" w:type="dxa"/>
          </w:tcPr>
          <w:p w14:paraId="0107BAE3" w14:textId="77777777" w:rsidR="0040486E" w:rsidRPr="00B03E75" w:rsidRDefault="0040486E" w:rsidP="0040486E">
            <w:pPr>
              <w:rPr>
                <w:rFonts w:cstheme="minorHAnsi"/>
                <w:sz w:val="20"/>
                <w:szCs w:val="20"/>
                <w:highlight w:val="yellow"/>
              </w:rPr>
            </w:pPr>
          </w:p>
        </w:tc>
        <w:tc>
          <w:tcPr>
            <w:tcW w:w="2160" w:type="dxa"/>
          </w:tcPr>
          <w:p w14:paraId="20993F74" w14:textId="77777777" w:rsidR="0040486E" w:rsidRPr="00B03E75" w:rsidRDefault="0040486E" w:rsidP="0040486E">
            <w:pPr>
              <w:rPr>
                <w:rFonts w:cstheme="minorHAnsi"/>
                <w:sz w:val="20"/>
                <w:szCs w:val="20"/>
                <w:highlight w:val="yellow"/>
              </w:rPr>
            </w:pPr>
          </w:p>
        </w:tc>
        <w:tc>
          <w:tcPr>
            <w:tcW w:w="2520" w:type="dxa"/>
          </w:tcPr>
          <w:p w14:paraId="32240655" w14:textId="77777777" w:rsidR="0040486E" w:rsidRPr="00B03E75" w:rsidRDefault="0040486E" w:rsidP="0040486E">
            <w:pPr>
              <w:rPr>
                <w:rFonts w:cstheme="minorHAnsi"/>
                <w:sz w:val="20"/>
                <w:szCs w:val="20"/>
                <w:highlight w:val="yellow"/>
              </w:rPr>
            </w:pPr>
          </w:p>
        </w:tc>
      </w:tr>
      <w:tr w:rsidR="0040486E" w:rsidRPr="00B03E75" w14:paraId="78A4404B" w14:textId="77777777" w:rsidTr="003757BA">
        <w:trPr>
          <w:gridAfter w:val="1"/>
          <w:wAfter w:w="6" w:type="dxa"/>
          <w:trHeight w:val="112"/>
        </w:trPr>
        <w:tc>
          <w:tcPr>
            <w:tcW w:w="1701" w:type="dxa"/>
            <w:vMerge w:val="restart"/>
          </w:tcPr>
          <w:p w14:paraId="7A9FABF4" w14:textId="4DF47360" w:rsidR="0040486E" w:rsidRPr="00B03E75" w:rsidRDefault="0040486E" w:rsidP="0040486E">
            <w:pPr>
              <w:rPr>
                <w:rFonts w:cstheme="minorHAnsi"/>
                <w:bCs/>
                <w:sz w:val="20"/>
                <w:szCs w:val="20"/>
                <w:highlight w:val="yellow"/>
              </w:rPr>
            </w:pPr>
            <w:r w:rsidRPr="00B86275">
              <w:rPr>
                <w:rFonts w:cstheme="minorHAnsi"/>
              </w:rPr>
              <w:t xml:space="preserve">Activité 2 : </w:t>
            </w:r>
            <w:bookmarkStart w:id="1" w:name="_Hlk179996603"/>
            <w:r w:rsidRPr="00B86275">
              <w:rPr>
                <w:rFonts w:cstheme="minorHAnsi"/>
              </w:rPr>
              <w:t xml:space="preserve">Pilotage des projets de Green IT et collaboration </w:t>
            </w:r>
            <w:r w:rsidRPr="00B86275">
              <w:rPr>
                <w:rFonts w:cstheme="minorHAnsi"/>
              </w:rPr>
              <w:lastRenderedPageBreak/>
              <w:t>avec les parties prenantes</w:t>
            </w:r>
            <w:bookmarkEnd w:id="1"/>
          </w:p>
        </w:tc>
        <w:tc>
          <w:tcPr>
            <w:tcW w:w="3711" w:type="dxa"/>
          </w:tcPr>
          <w:p w14:paraId="5A94AC2C" w14:textId="7B0686EC" w:rsidR="0040486E" w:rsidRPr="00B03E75" w:rsidRDefault="0040486E" w:rsidP="0040486E">
            <w:pPr>
              <w:rPr>
                <w:rFonts w:cstheme="minorHAnsi"/>
                <w:sz w:val="20"/>
                <w:szCs w:val="20"/>
                <w:highlight w:val="yellow"/>
              </w:rPr>
            </w:pPr>
            <w:r w:rsidRPr="004A6172">
              <w:rPr>
                <w:rFonts w:cstheme="minorHAnsi"/>
              </w:rPr>
              <w:lastRenderedPageBreak/>
              <w:t>C2.4 Organiser les différentes phases d’un projet Green IT en attribuant les tâches aux parties prenantes et en mettant en place des outils de pilotage afin de garantir une collaboration efficace et la tenue des objectifs.</w:t>
            </w:r>
          </w:p>
        </w:tc>
        <w:tc>
          <w:tcPr>
            <w:tcW w:w="2410" w:type="dxa"/>
          </w:tcPr>
          <w:p w14:paraId="149DE9A1" w14:textId="77777777" w:rsidR="0040486E" w:rsidRPr="00B03E75" w:rsidRDefault="0040486E" w:rsidP="0040486E">
            <w:pPr>
              <w:rPr>
                <w:rFonts w:cstheme="minorHAnsi"/>
                <w:sz w:val="20"/>
                <w:szCs w:val="20"/>
                <w:highlight w:val="yellow"/>
              </w:rPr>
            </w:pPr>
          </w:p>
        </w:tc>
        <w:tc>
          <w:tcPr>
            <w:tcW w:w="2387" w:type="dxa"/>
          </w:tcPr>
          <w:p w14:paraId="09189092" w14:textId="77777777" w:rsidR="0040486E" w:rsidRPr="00B03E75" w:rsidRDefault="0040486E" w:rsidP="0040486E">
            <w:pPr>
              <w:rPr>
                <w:rFonts w:cstheme="minorHAnsi"/>
                <w:sz w:val="20"/>
                <w:szCs w:val="20"/>
                <w:highlight w:val="yellow"/>
              </w:rPr>
            </w:pPr>
          </w:p>
        </w:tc>
        <w:tc>
          <w:tcPr>
            <w:tcW w:w="2160" w:type="dxa"/>
          </w:tcPr>
          <w:p w14:paraId="0E6EE4AB" w14:textId="77777777" w:rsidR="0040486E" w:rsidRPr="00B03E75" w:rsidRDefault="0040486E" w:rsidP="0040486E">
            <w:pPr>
              <w:rPr>
                <w:rFonts w:cstheme="minorHAnsi"/>
                <w:sz w:val="20"/>
                <w:szCs w:val="20"/>
                <w:highlight w:val="yellow"/>
              </w:rPr>
            </w:pPr>
          </w:p>
        </w:tc>
        <w:tc>
          <w:tcPr>
            <w:tcW w:w="2520" w:type="dxa"/>
          </w:tcPr>
          <w:p w14:paraId="4F472D5E" w14:textId="77777777" w:rsidR="0040486E" w:rsidRPr="00B03E75" w:rsidRDefault="0040486E" w:rsidP="0040486E">
            <w:pPr>
              <w:rPr>
                <w:rFonts w:cstheme="minorHAnsi"/>
                <w:sz w:val="20"/>
                <w:szCs w:val="20"/>
                <w:highlight w:val="yellow"/>
              </w:rPr>
            </w:pPr>
          </w:p>
        </w:tc>
      </w:tr>
      <w:tr w:rsidR="0040486E" w:rsidRPr="00883791" w14:paraId="78C3920C" w14:textId="77777777" w:rsidTr="003757BA">
        <w:trPr>
          <w:gridAfter w:val="1"/>
          <w:wAfter w:w="6" w:type="dxa"/>
          <w:trHeight w:val="112"/>
        </w:trPr>
        <w:tc>
          <w:tcPr>
            <w:tcW w:w="1701" w:type="dxa"/>
            <w:vMerge/>
          </w:tcPr>
          <w:p w14:paraId="032267E6" w14:textId="77777777" w:rsidR="0040486E" w:rsidRPr="00B03E75" w:rsidRDefault="0040486E" w:rsidP="0040486E">
            <w:pPr>
              <w:rPr>
                <w:rFonts w:cstheme="minorHAnsi"/>
                <w:bCs/>
                <w:sz w:val="20"/>
                <w:szCs w:val="20"/>
                <w:highlight w:val="yellow"/>
              </w:rPr>
            </w:pPr>
          </w:p>
        </w:tc>
        <w:tc>
          <w:tcPr>
            <w:tcW w:w="3711" w:type="dxa"/>
          </w:tcPr>
          <w:p w14:paraId="59F8834C" w14:textId="682A655D" w:rsidR="0040486E" w:rsidRPr="00B5072C" w:rsidRDefault="0040486E" w:rsidP="0040486E">
            <w:pPr>
              <w:rPr>
                <w:rFonts w:cstheme="minorHAnsi"/>
                <w:sz w:val="20"/>
                <w:szCs w:val="20"/>
              </w:rPr>
            </w:pPr>
            <w:r w:rsidRPr="004A6172">
              <w:rPr>
                <w:rFonts w:cstheme="minorHAnsi"/>
              </w:rPr>
              <w:t xml:space="preserve">C2.5 </w:t>
            </w:r>
            <w:r w:rsidRPr="00B86275">
              <w:rPr>
                <w:rFonts w:cstheme="minorHAnsi"/>
              </w:rPr>
              <w:t xml:space="preserve">Superviser les projets Green IT en assurant la coordination des parties prenantes afin de faciliter l’avancement du projet et la mobilisation des acteurs. </w:t>
            </w:r>
          </w:p>
        </w:tc>
        <w:tc>
          <w:tcPr>
            <w:tcW w:w="2410" w:type="dxa"/>
          </w:tcPr>
          <w:p w14:paraId="2DD1E2EA" w14:textId="77777777" w:rsidR="0040486E" w:rsidRPr="00883791" w:rsidRDefault="0040486E" w:rsidP="0040486E">
            <w:pPr>
              <w:rPr>
                <w:rFonts w:cstheme="minorHAnsi"/>
                <w:sz w:val="20"/>
                <w:szCs w:val="20"/>
              </w:rPr>
            </w:pPr>
          </w:p>
        </w:tc>
        <w:tc>
          <w:tcPr>
            <w:tcW w:w="2387" w:type="dxa"/>
          </w:tcPr>
          <w:p w14:paraId="67FAEF7D" w14:textId="77777777" w:rsidR="0040486E" w:rsidRPr="00883791" w:rsidRDefault="0040486E" w:rsidP="0040486E">
            <w:pPr>
              <w:rPr>
                <w:rFonts w:cstheme="minorHAnsi"/>
                <w:sz w:val="20"/>
                <w:szCs w:val="20"/>
              </w:rPr>
            </w:pPr>
          </w:p>
        </w:tc>
        <w:tc>
          <w:tcPr>
            <w:tcW w:w="2160" w:type="dxa"/>
          </w:tcPr>
          <w:p w14:paraId="20C28F5D" w14:textId="77777777" w:rsidR="0040486E" w:rsidRPr="00883791" w:rsidRDefault="0040486E" w:rsidP="0040486E">
            <w:pPr>
              <w:rPr>
                <w:rFonts w:cstheme="minorHAnsi"/>
                <w:sz w:val="20"/>
                <w:szCs w:val="20"/>
              </w:rPr>
            </w:pPr>
          </w:p>
        </w:tc>
        <w:tc>
          <w:tcPr>
            <w:tcW w:w="2520" w:type="dxa"/>
          </w:tcPr>
          <w:p w14:paraId="6302AD69" w14:textId="77777777" w:rsidR="0040486E" w:rsidRPr="00883791" w:rsidRDefault="0040486E" w:rsidP="0040486E">
            <w:pPr>
              <w:rPr>
                <w:rFonts w:cstheme="minorHAnsi"/>
                <w:sz w:val="20"/>
                <w:szCs w:val="20"/>
              </w:rPr>
            </w:pPr>
          </w:p>
        </w:tc>
      </w:tr>
      <w:tr w:rsidR="0040486E" w:rsidRPr="00883791" w14:paraId="590E25B9" w14:textId="77777777" w:rsidTr="003757BA">
        <w:trPr>
          <w:gridAfter w:val="1"/>
          <w:wAfter w:w="6" w:type="dxa"/>
          <w:trHeight w:val="112"/>
        </w:trPr>
        <w:tc>
          <w:tcPr>
            <w:tcW w:w="1701" w:type="dxa"/>
          </w:tcPr>
          <w:p w14:paraId="4A4F6839" w14:textId="77777777" w:rsidR="0040486E" w:rsidRPr="00B03E75" w:rsidRDefault="0040486E" w:rsidP="0040486E">
            <w:pPr>
              <w:rPr>
                <w:rFonts w:cstheme="minorHAnsi"/>
                <w:bCs/>
                <w:sz w:val="20"/>
                <w:szCs w:val="20"/>
                <w:highlight w:val="yellow"/>
              </w:rPr>
            </w:pPr>
          </w:p>
        </w:tc>
        <w:tc>
          <w:tcPr>
            <w:tcW w:w="3711" w:type="dxa"/>
          </w:tcPr>
          <w:p w14:paraId="635E26DA" w14:textId="3D7F89D6" w:rsidR="0040486E" w:rsidRPr="00B5072C" w:rsidRDefault="0040486E" w:rsidP="0040486E">
            <w:pPr>
              <w:rPr>
                <w:rFonts w:cstheme="minorHAnsi"/>
                <w:sz w:val="20"/>
                <w:szCs w:val="20"/>
              </w:rPr>
            </w:pPr>
            <w:r w:rsidRPr="004A6172">
              <w:rPr>
                <w:rFonts w:cstheme="minorHAnsi"/>
              </w:rPr>
              <w:t xml:space="preserve">C2.6 </w:t>
            </w:r>
            <w:r w:rsidRPr="00B86275">
              <w:rPr>
                <w:rFonts w:cstheme="minorHAnsi"/>
              </w:rPr>
              <w:t xml:space="preserve">Évaluer les résultats du projet en s’appuyant sur des indicateurs financiers et extra-financiers afin de mettre en évidence les facteurs ou les variables sociales, environnementales et économiques nécessaires à la prise de décision. </w:t>
            </w:r>
          </w:p>
        </w:tc>
        <w:tc>
          <w:tcPr>
            <w:tcW w:w="2410" w:type="dxa"/>
          </w:tcPr>
          <w:p w14:paraId="2E05525D" w14:textId="77777777" w:rsidR="0040486E" w:rsidRPr="00883791" w:rsidRDefault="0040486E" w:rsidP="0040486E">
            <w:pPr>
              <w:rPr>
                <w:rFonts w:cstheme="minorHAnsi"/>
                <w:sz w:val="20"/>
                <w:szCs w:val="20"/>
              </w:rPr>
            </w:pPr>
          </w:p>
        </w:tc>
        <w:tc>
          <w:tcPr>
            <w:tcW w:w="2387" w:type="dxa"/>
          </w:tcPr>
          <w:p w14:paraId="1D35731C" w14:textId="77777777" w:rsidR="0040486E" w:rsidRPr="00883791" w:rsidRDefault="0040486E" w:rsidP="0040486E">
            <w:pPr>
              <w:rPr>
                <w:rFonts w:cstheme="minorHAnsi"/>
                <w:sz w:val="20"/>
                <w:szCs w:val="20"/>
              </w:rPr>
            </w:pPr>
          </w:p>
        </w:tc>
        <w:tc>
          <w:tcPr>
            <w:tcW w:w="2160" w:type="dxa"/>
          </w:tcPr>
          <w:p w14:paraId="268DAAED" w14:textId="77777777" w:rsidR="0040486E" w:rsidRPr="00883791" w:rsidRDefault="0040486E" w:rsidP="0040486E">
            <w:pPr>
              <w:rPr>
                <w:rFonts w:cstheme="minorHAnsi"/>
                <w:sz w:val="20"/>
                <w:szCs w:val="20"/>
              </w:rPr>
            </w:pPr>
          </w:p>
        </w:tc>
        <w:tc>
          <w:tcPr>
            <w:tcW w:w="2520" w:type="dxa"/>
          </w:tcPr>
          <w:p w14:paraId="23E310F4" w14:textId="77777777" w:rsidR="0040486E" w:rsidRPr="00883791" w:rsidRDefault="0040486E" w:rsidP="0040486E">
            <w:pPr>
              <w:rPr>
                <w:rFonts w:cstheme="minorHAnsi"/>
                <w:sz w:val="20"/>
                <w:szCs w:val="20"/>
              </w:rPr>
            </w:pPr>
          </w:p>
        </w:tc>
      </w:tr>
      <w:tr w:rsidR="0040486E" w:rsidRPr="00883791" w14:paraId="5A54847D" w14:textId="77777777" w:rsidTr="003757BA">
        <w:trPr>
          <w:gridAfter w:val="1"/>
          <w:wAfter w:w="6" w:type="dxa"/>
          <w:trHeight w:val="112"/>
        </w:trPr>
        <w:tc>
          <w:tcPr>
            <w:tcW w:w="1701" w:type="dxa"/>
          </w:tcPr>
          <w:p w14:paraId="4802E2BD" w14:textId="6A5A37BE" w:rsidR="0040486E" w:rsidRPr="00B03E75" w:rsidRDefault="0040486E" w:rsidP="0040486E">
            <w:pPr>
              <w:rPr>
                <w:rFonts w:cstheme="minorHAnsi"/>
                <w:bCs/>
                <w:sz w:val="20"/>
                <w:szCs w:val="20"/>
                <w:highlight w:val="yellow"/>
              </w:rPr>
            </w:pPr>
            <w:r w:rsidRPr="00B86275">
              <w:rPr>
                <w:rFonts w:cstheme="minorHAnsi"/>
              </w:rPr>
              <w:t xml:space="preserve">Activité 3 : </w:t>
            </w:r>
            <w:bookmarkStart w:id="2" w:name="_Hlk179996637"/>
            <w:r w:rsidRPr="00B86275">
              <w:rPr>
                <w:rFonts w:cstheme="minorHAnsi"/>
              </w:rPr>
              <w:t>Animation de l’amélioration continue de la démarche Green IT</w:t>
            </w:r>
            <w:bookmarkEnd w:id="2"/>
          </w:p>
        </w:tc>
        <w:tc>
          <w:tcPr>
            <w:tcW w:w="3711" w:type="dxa"/>
          </w:tcPr>
          <w:p w14:paraId="31C158EF" w14:textId="22195120" w:rsidR="0040486E" w:rsidRPr="00B5072C" w:rsidRDefault="0040486E" w:rsidP="0040486E">
            <w:pPr>
              <w:rPr>
                <w:rFonts w:cstheme="minorHAnsi"/>
                <w:sz w:val="20"/>
                <w:szCs w:val="20"/>
              </w:rPr>
            </w:pPr>
            <w:r w:rsidRPr="004A6172">
              <w:rPr>
                <w:rFonts w:cstheme="minorHAnsi"/>
              </w:rPr>
              <w:t xml:space="preserve">C2.7 </w:t>
            </w:r>
            <w:r w:rsidRPr="00B86275">
              <w:rPr>
                <w:rFonts w:cstheme="minorHAnsi"/>
              </w:rPr>
              <w:t>Réaliser une veille règlementaire et technologique spécifique aux enjeux du Green IT en mobilisant des ressources de référence afin de se tenir informé des évolutions, de faire évoluer la démarche et les pratiques.</w:t>
            </w:r>
          </w:p>
        </w:tc>
        <w:tc>
          <w:tcPr>
            <w:tcW w:w="2410" w:type="dxa"/>
          </w:tcPr>
          <w:p w14:paraId="617D8E5B" w14:textId="77777777" w:rsidR="0040486E" w:rsidRPr="00883791" w:rsidRDefault="0040486E" w:rsidP="0040486E">
            <w:pPr>
              <w:rPr>
                <w:rFonts w:cstheme="minorHAnsi"/>
                <w:sz w:val="20"/>
                <w:szCs w:val="20"/>
              </w:rPr>
            </w:pPr>
          </w:p>
        </w:tc>
        <w:tc>
          <w:tcPr>
            <w:tcW w:w="2387" w:type="dxa"/>
          </w:tcPr>
          <w:p w14:paraId="28CB287B" w14:textId="77777777" w:rsidR="0040486E" w:rsidRPr="00883791" w:rsidRDefault="0040486E" w:rsidP="0040486E">
            <w:pPr>
              <w:rPr>
                <w:rFonts w:cstheme="minorHAnsi"/>
                <w:sz w:val="20"/>
                <w:szCs w:val="20"/>
              </w:rPr>
            </w:pPr>
          </w:p>
        </w:tc>
        <w:tc>
          <w:tcPr>
            <w:tcW w:w="2160" w:type="dxa"/>
          </w:tcPr>
          <w:p w14:paraId="14DCADFC" w14:textId="77777777" w:rsidR="0040486E" w:rsidRPr="00883791" w:rsidRDefault="0040486E" w:rsidP="0040486E">
            <w:pPr>
              <w:rPr>
                <w:rFonts w:cstheme="minorHAnsi"/>
                <w:sz w:val="20"/>
                <w:szCs w:val="20"/>
              </w:rPr>
            </w:pPr>
          </w:p>
        </w:tc>
        <w:tc>
          <w:tcPr>
            <w:tcW w:w="2520" w:type="dxa"/>
          </w:tcPr>
          <w:p w14:paraId="710B51F8" w14:textId="77777777" w:rsidR="0040486E" w:rsidRPr="00883791" w:rsidRDefault="0040486E" w:rsidP="0040486E">
            <w:pPr>
              <w:rPr>
                <w:rFonts w:cstheme="minorHAnsi"/>
                <w:sz w:val="20"/>
                <w:szCs w:val="20"/>
              </w:rPr>
            </w:pPr>
          </w:p>
        </w:tc>
      </w:tr>
      <w:tr w:rsidR="0040486E" w:rsidRPr="00883791" w14:paraId="4A998BAF" w14:textId="77777777" w:rsidTr="003757BA">
        <w:trPr>
          <w:gridAfter w:val="1"/>
          <w:wAfter w:w="6" w:type="dxa"/>
          <w:trHeight w:val="112"/>
        </w:trPr>
        <w:tc>
          <w:tcPr>
            <w:tcW w:w="1701" w:type="dxa"/>
          </w:tcPr>
          <w:p w14:paraId="27C07DE2" w14:textId="77777777" w:rsidR="0040486E" w:rsidRPr="00B03E75" w:rsidRDefault="0040486E" w:rsidP="0040486E">
            <w:pPr>
              <w:rPr>
                <w:rFonts w:cstheme="minorHAnsi"/>
                <w:bCs/>
                <w:sz w:val="20"/>
                <w:szCs w:val="20"/>
                <w:highlight w:val="yellow"/>
              </w:rPr>
            </w:pPr>
          </w:p>
        </w:tc>
        <w:tc>
          <w:tcPr>
            <w:tcW w:w="3711" w:type="dxa"/>
          </w:tcPr>
          <w:p w14:paraId="1EAA1927" w14:textId="4049F35E" w:rsidR="0040486E" w:rsidRPr="00B5072C" w:rsidRDefault="0040486E" w:rsidP="0040486E">
            <w:pPr>
              <w:rPr>
                <w:rFonts w:cstheme="minorHAnsi"/>
                <w:sz w:val="20"/>
                <w:szCs w:val="20"/>
              </w:rPr>
            </w:pPr>
            <w:r w:rsidRPr="004A6172">
              <w:rPr>
                <w:rFonts w:cstheme="minorHAnsi"/>
              </w:rPr>
              <w:t xml:space="preserve">C2.8 </w:t>
            </w:r>
            <w:r w:rsidRPr="00B86275">
              <w:rPr>
                <w:rFonts w:cstheme="minorHAnsi"/>
              </w:rPr>
              <w:t>Repérer des opportunités de développement en s’appuyant sur la veille et les pistes de réflexion dégagées afin d’améliorer les performances du SI de l’entreprise et de les intégrer à la démarche.</w:t>
            </w:r>
          </w:p>
        </w:tc>
        <w:tc>
          <w:tcPr>
            <w:tcW w:w="2410" w:type="dxa"/>
          </w:tcPr>
          <w:p w14:paraId="7E939CAB" w14:textId="77777777" w:rsidR="0040486E" w:rsidRPr="00883791" w:rsidRDefault="0040486E" w:rsidP="0040486E">
            <w:pPr>
              <w:rPr>
                <w:rFonts w:cstheme="minorHAnsi"/>
                <w:sz w:val="20"/>
                <w:szCs w:val="20"/>
              </w:rPr>
            </w:pPr>
          </w:p>
        </w:tc>
        <w:tc>
          <w:tcPr>
            <w:tcW w:w="2387" w:type="dxa"/>
          </w:tcPr>
          <w:p w14:paraId="7FEE5277" w14:textId="77777777" w:rsidR="0040486E" w:rsidRPr="00883791" w:rsidRDefault="0040486E" w:rsidP="0040486E">
            <w:pPr>
              <w:rPr>
                <w:rFonts w:cstheme="minorHAnsi"/>
                <w:sz w:val="20"/>
                <w:szCs w:val="20"/>
              </w:rPr>
            </w:pPr>
          </w:p>
        </w:tc>
        <w:tc>
          <w:tcPr>
            <w:tcW w:w="2160" w:type="dxa"/>
          </w:tcPr>
          <w:p w14:paraId="74DE934B" w14:textId="77777777" w:rsidR="0040486E" w:rsidRPr="00883791" w:rsidRDefault="0040486E" w:rsidP="0040486E">
            <w:pPr>
              <w:rPr>
                <w:rFonts w:cstheme="minorHAnsi"/>
                <w:sz w:val="20"/>
                <w:szCs w:val="20"/>
              </w:rPr>
            </w:pPr>
          </w:p>
        </w:tc>
        <w:tc>
          <w:tcPr>
            <w:tcW w:w="2520" w:type="dxa"/>
          </w:tcPr>
          <w:p w14:paraId="19C58C06" w14:textId="77777777" w:rsidR="0040486E" w:rsidRPr="00883791" w:rsidRDefault="0040486E" w:rsidP="0040486E">
            <w:pPr>
              <w:rPr>
                <w:rFonts w:cstheme="minorHAnsi"/>
                <w:sz w:val="20"/>
                <w:szCs w:val="20"/>
              </w:rPr>
            </w:pPr>
          </w:p>
        </w:tc>
      </w:tr>
      <w:tr w:rsidR="0040486E" w:rsidRPr="00883791" w14:paraId="11AD7783" w14:textId="77777777" w:rsidTr="003757BA">
        <w:trPr>
          <w:gridAfter w:val="1"/>
          <w:wAfter w:w="6" w:type="dxa"/>
          <w:trHeight w:val="112"/>
        </w:trPr>
        <w:tc>
          <w:tcPr>
            <w:tcW w:w="1701" w:type="dxa"/>
          </w:tcPr>
          <w:p w14:paraId="4A771AF3" w14:textId="77777777" w:rsidR="0040486E" w:rsidRPr="00B03E75" w:rsidRDefault="0040486E" w:rsidP="0040486E">
            <w:pPr>
              <w:rPr>
                <w:rFonts w:cstheme="minorHAnsi"/>
                <w:bCs/>
                <w:sz w:val="20"/>
                <w:szCs w:val="20"/>
                <w:highlight w:val="yellow"/>
              </w:rPr>
            </w:pPr>
          </w:p>
        </w:tc>
        <w:tc>
          <w:tcPr>
            <w:tcW w:w="3711" w:type="dxa"/>
          </w:tcPr>
          <w:p w14:paraId="5651AE8D" w14:textId="700A4692" w:rsidR="0040486E" w:rsidRPr="00B5072C" w:rsidRDefault="0040486E" w:rsidP="0040486E">
            <w:pPr>
              <w:rPr>
                <w:rFonts w:cstheme="minorHAnsi"/>
                <w:sz w:val="20"/>
                <w:szCs w:val="20"/>
              </w:rPr>
            </w:pPr>
            <w:r w:rsidRPr="004A6172">
              <w:rPr>
                <w:rFonts w:cstheme="minorHAnsi"/>
              </w:rPr>
              <w:t xml:space="preserve">C2.9 </w:t>
            </w:r>
            <w:bookmarkStart w:id="3" w:name="_Hlk178955821"/>
            <w:r w:rsidRPr="00B86275">
              <w:rPr>
                <w:rFonts w:cstheme="minorHAnsi"/>
              </w:rPr>
              <w:t xml:space="preserve">Organiser des </w:t>
            </w:r>
            <w:r w:rsidRPr="00096751">
              <w:rPr>
                <w:rFonts w:cstheme="minorHAnsi"/>
              </w:rPr>
              <w:t>ateliers de retour d'expérience à l'issue des projets Green IT</w:t>
            </w:r>
            <w:r>
              <w:rPr>
                <w:rFonts w:cstheme="minorHAnsi"/>
              </w:rPr>
              <w:t xml:space="preserve"> </w:t>
            </w:r>
            <w:r w:rsidRPr="00B86275">
              <w:rPr>
                <w:rFonts w:cstheme="minorHAnsi"/>
              </w:rPr>
              <w:t xml:space="preserve">en favorisant l’expression des succès et des difficultés rencontrées, à des fins d’amélioration continue et de capitalisation de l’expérience. </w:t>
            </w:r>
            <w:bookmarkEnd w:id="3"/>
          </w:p>
        </w:tc>
        <w:tc>
          <w:tcPr>
            <w:tcW w:w="2410" w:type="dxa"/>
          </w:tcPr>
          <w:p w14:paraId="16A232A3" w14:textId="77777777" w:rsidR="0040486E" w:rsidRPr="00883791" w:rsidRDefault="0040486E" w:rsidP="0040486E">
            <w:pPr>
              <w:rPr>
                <w:rFonts w:cstheme="minorHAnsi"/>
                <w:sz w:val="20"/>
                <w:szCs w:val="20"/>
              </w:rPr>
            </w:pPr>
          </w:p>
        </w:tc>
        <w:tc>
          <w:tcPr>
            <w:tcW w:w="2387" w:type="dxa"/>
          </w:tcPr>
          <w:p w14:paraId="677D61C4" w14:textId="77777777" w:rsidR="0040486E" w:rsidRPr="00883791" w:rsidRDefault="0040486E" w:rsidP="0040486E">
            <w:pPr>
              <w:rPr>
                <w:rFonts w:cstheme="minorHAnsi"/>
                <w:sz w:val="20"/>
                <w:szCs w:val="20"/>
              </w:rPr>
            </w:pPr>
          </w:p>
        </w:tc>
        <w:tc>
          <w:tcPr>
            <w:tcW w:w="2160" w:type="dxa"/>
          </w:tcPr>
          <w:p w14:paraId="501C9224" w14:textId="77777777" w:rsidR="0040486E" w:rsidRPr="00883791" w:rsidRDefault="0040486E" w:rsidP="0040486E">
            <w:pPr>
              <w:rPr>
                <w:rFonts w:cstheme="minorHAnsi"/>
                <w:sz w:val="20"/>
                <w:szCs w:val="20"/>
              </w:rPr>
            </w:pPr>
          </w:p>
        </w:tc>
        <w:tc>
          <w:tcPr>
            <w:tcW w:w="2520" w:type="dxa"/>
          </w:tcPr>
          <w:p w14:paraId="731F452B" w14:textId="77777777" w:rsidR="0040486E" w:rsidRPr="00883791" w:rsidRDefault="0040486E" w:rsidP="0040486E">
            <w:pPr>
              <w:rPr>
                <w:rFonts w:cstheme="minorHAnsi"/>
                <w:sz w:val="20"/>
                <w:szCs w:val="20"/>
              </w:rPr>
            </w:pPr>
          </w:p>
        </w:tc>
      </w:tr>
    </w:tbl>
    <w:p w14:paraId="6C4BC56C" w14:textId="77777777" w:rsidR="00CF2A52" w:rsidRDefault="00CF2A52">
      <w:r>
        <w:br w:type="page"/>
      </w:r>
    </w:p>
    <w:tbl>
      <w:tblPr>
        <w:tblStyle w:val="Grilledutableau"/>
        <w:tblW w:w="14889" w:type="dxa"/>
        <w:tblInd w:w="-5" w:type="dxa"/>
        <w:tblLayout w:type="fixed"/>
        <w:tblLook w:val="04A0" w:firstRow="1" w:lastRow="0" w:firstColumn="1" w:lastColumn="0" w:noHBand="0" w:noVBand="1"/>
      </w:tblPr>
      <w:tblGrid>
        <w:gridCol w:w="1701"/>
        <w:gridCol w:w="3711"/>
        <w:gridCol w:w="2410"/>
        <w:gridCol w:w="2387"/>
        <w:gridCol w:w="2160"/>
        <w:gridCol w:w="2520"/>
      </w:tblGrid>
      <w:tr w:rsidR="00115485" w:rsidRPr="00883791" w14:paraId="0EAD191F" w14:textId="77777777" w:rsidTr="00CF2A52">
        <w:trPr>
          <w:trHeight w:val="112"/>
        </w:trPr>
        <w:tc>
          <w:tcPr>
            <w:tcW w:w="14889" w:type="dxa"/>
            <w:gridSpan w:val="6"/>
            <w:shd w:val="clear" w:color="auto" w:fill="E7E6E6" w:themeFill="background2"/>
          </w:tcPr>
          <w:p w14:paraId="6BF770BE" w14:textId="524363D3" w:rsidR="00115485" w:rsidRPr="00883791" w:rsidRDefault="0040486E" w:rsidP="0040486E">
            <w:pPr>
              <w:jc w:val="both"/>
              <w:rPr>
                <w:rFonts w:cstheme="minorHAnsi"/>
                <w:sz w:val="20"/>
                <w:szCs w:val="20"/>
              </w:rPr>
            </w:pPr>
            <w:r w:rsidRPr="00B86275">
              <w:rPr>
                <w:rFonts w:cstheme="minorHAnsi"/>
                <w:b/>
                <w:bCs/>
              </w:rPr>
              <w:lastRenderedPageBreak/>
              <w:t xml:space="preserve">BLOC 3 </w:t>
            </w:r>
            <w:r>
              <w:rPr>
                <w:rFonts w:cstheme="minorHAnsi"/>
                <w:b/>
                <w:bCs/>
              </w:rPr>
              <w:t>–</w:t>
            </w:r>
            <w:r w:rsidRPr="00B86275">
              <w:rPr>
                <w:rFonts w:cstheme="minorHAnsi"/>
                <w:b/>
                <w:bCs/>
              </w:rPr>
              <w:t xml:space="preserve"> </w:t>
            </w:r>
            <w:r>
              <w:rPr>
                <w:rFonts w:cstheme="minorHAnsi"/>
                <w:b/>
                <w:bCs/>
              </w:rPr>
              <w:t>Animer une démarche Green IT</w:t>
            </w:r>
          </w:p>
        </w:tc>
      </w:tr>
      <w:tr w:rsidR="0040486E" w:rsidRPr="00883791" w14:paraId="75E3820A" w14:textId="77777777" w:rsidTr="00CF2A52">
        <w:trPr>
          <w:trHeight w:val="112"/>
        </w:trPr>
        <w:tc>
          <w:tcPr>
            <w:tcW w:w="1701" w:type="dxa"/>
            <w:vMerge w:val="restart"/>
          </w:tcPr>
          <w:p w14:paraId="5DFF8AE6" w14:textId="62B0C64D" w:rsidR="0040486E" w:rsidRPr="00B5072C" w:rsidRDefault="0040486E" w:rsidP="0040486E">
            <w:pPr>
              <w:rPr>
                <w:rFonts w:cstheme="minorHAnsi"/>
                <w:bCs/>
                <w:sz w:val="20"/>
                <w:szCs w:val="20"/>
              </w:rPr>
            </w:pPr>
            <w:r w:rsidRPr="00B86275">
              <w:rPr>
                <w:rFonts w:cstheme="minorHAnsi"/>
              </w:rPr>
              <w:t xml:space="preserve">Activité 1 : </w:t>
            </w:r>
            <w:bookmarkStart w:id="4" w:name="_Hlk179996728"/>
            <w:r w:rsidRPr="00B86275">
              <w:rPr>
                <w:rFonts w:cstheme="minorHAnsi"/>
              </w:rPr>
              <w:t xml:space="preserve">Conduite du changement liée à la transformation numérique responsable </w:t>
            </w:r>
            <w:bookmarkEnd w:id="4"/>
          </w:p>
        </w:tc>
        <w:tc>
          <w:tcPr>
            <w:tcW w:w="3711" w:type="dxa"/>
          </w:tcPr>
          <w:p w14:paraId="2F807AE3" w14:textId="32B47567" w:rsidR="0040486E" w:rsidRPr="00B5072C" w:rsidRDefault="0040486E" w:rsidP="0040486E">
            <w:pPr>
              <w:rPr>
                <w:rFonts w:cstheme="minorHAnsi"/>
                <w:sz w:val="20"/>
                <w:szCs w:val="20"/>
              </w:rPr>
            </w:pPr>
            <w:r w:rsidRPr="004A6172">
              <w:rPr>
                <w:rFonts w:cstheme="minorHAnsi"/>
              </w:rPr>
              <w:t xml:space="preserve">C3.1 </w:t>
            </w:r>
            <w:r w:rsidRPr="00B86275">
              <w:rPr>
                <w:rFonts w:cstheme="minorHAnsi"/>
              </w:rPr>
              <w:t>Accompagner les collaborateurs et la direction de l’entreprise dans la compréhension des enjeux du Green IT en conduisant des actions de sensibilisation pour faciliter l’adhésion et le changement de pratiques.</w:t>
            </w:r>
          </w:p>
        </w:tc>
        <w:tc>
          <w:tcPr>
            <w:tcW w:w="2410" w:type="dxa"/>
          </w:tcPr>
          <w:p w14:paraId="6EF72E6E" w14:textId="77777777" w:rsidR="0040486E" w:rsidRPr="00883791" w:rsidRDefault="0040486E" w:rsidP="0040486E">
            <w:pPr>
              <w:rPr>
                <w:rFonts w:cstheme="minorHAnsi"/>
                <w:sz w:val="20"/>
                <w:szCs w:val="20"/>
              </w:rPr>
            </w:pPr>
          </w:p>
        </w:tc>
        <w:tc>
          <w:tcPr>
            <w:tcW w:w="2387" w:type="dxa"/>
          </w:tcPr>
          <w:p w14:paraId="1BBD153E" w14:textId="77777777" w:rsidR="0040486E" w:rsidRPr="00883791" w:rsidRDefault="0040486E" w:rsidP="0040486E">
            <w:pPr>
              <w:rPr>
                <w:rFonts w:cstheme="minorHAnsi"/>
                <w:sz w:val="20"/>
                <w:szCs w:val="20"/>
              </w:rPr>
            </w:pPr>
          </w:p>
        </w:tc>
        <w:tc>
          <w:tcPr>
            <w:tcW w:w="2160" w:type="dxa"/>
          </w:tcPr>
          <w:p w14:paraId="3FE4B8ED" w14:textId="77777777" w:rsidR="0040486E" w:rsidRPr="00883791" w:rsidRDefault="0040486E" w:rsidP="0040486E">
            <w:pPr>
              <w:rPr>
                <w:rFonts w:cstheme="minorHAnsi"/>
                <w:sz w:val="20"/>
                <w:szCs w:val="20"/>
              </w:rPr>
            </w:pPr>
          </w:p>
        </w:tc>
        <w:tc>
          <w:tcPr>
            <w:tcW w:w="2520" w:type="dxa"/>
          </w:tcPr>
          <w:p w14:paraId="449727ED" w14:textId="77777777" w:rsidR="0040486E" w:rsidRPr="00883791" w:rsidRDefault="0040486E" w:rsidP="0040486E">
            <w:pPr>
              <w:rPr>
                <w:rFonts w:cstheme="minorHAnsi"/>
                <w:sz w:val="20"/>
                <w:szCs w:val="20"/>
              </w:rPr>
            </w:pPr>
          </w:p>
        </w:tc>
      </w:tr>
      <w:tr w:rsidR="0040486E" w:rsidRPr="00883791" w14:paraId="3A5ABF73" w14:textId="77777777" w:rsidTr="00CF2A52">
        <w:trPr>
          <w:trHeight w:val="112"/>
        </w:trPr>
        <w:tc>
          <w:tcPr>
            <w:tcW w:w="1701" w:type="dxa"/>
            <w:vMerge/>
          </w:tcPr>
          <w:p w14:paraId="1E0B3431" w14:textId="77777777" w:rsidR="0040486E" w:rsidRPr="00115485" w:rsidRDefault="0040486E" w:rsidP="0040486E">
            <w:pPr>
              <w:rPr>
                <w:rFonts w:cstheme="minorHAnsi"/>
                <w:bCs/>
                <w:sz w:val="20"/>
                <w:szCs w:val="20"/>
              </w:rPr>
            </w:pPr>
          </w:p>
        </w:tc>
        <w:tc>
          <w:tcPr>
            <w:tcW w:w="3711" w:type="dxa"/>
          </w:tcPr>
          <w:p w14:paraId="2EDE1125" w14:textId="5008CCCE" w:rsidR="0040486E" w:rsidRPr="00115485" w:rsidRDefault="0040486E" w:rsidP="0040486E">
            <w:pPr>
              <w:rPr>
                <w:rFonts w:cstheme="minorHAnsi"/>
                <w:sz w:val="20"/>
                <w:szCs w:val="20"/>
              </w:rPr>
            </w:pPr>
            <w:r w:rsidRPr="004A6172">
              <w:rPr>
                <w:rFonts w:cstheme="minorHAnsi"/>
              </w:rPr>
              <w:t xml:space="preserve">C3.2 </w:t>
            </w:r>
            <w:r w:rsidRPr="00B86275">
              <w:rPr>
                <w:rFonts w:cstheme="minorHAnsi"/>
              </w:rPr>
              <w:t>Participer à la montée en compétences des collaborateurs pour ancrer la durabilité au cœur des pratiques de l’entreprise, en intégrant le numérique responsable aux plans de développement des compétences (en lien avec la DRH) et en orientant les choix de formation.</w:t>
            </w:r>
          </w:p>
        </w:tc>
        <w:tc>
          <w:tcPr>
            <w:tcW w:w="2410" w:type="dxa"/>
          </w:tcPr>
          <w:p w14:paraId="18448E03" w14:textId="77777777" w:rsidR="0040486E" w:rsidRPr="00883791" w:rsidRDefault="0040486E" w:rsidP="0040486E">
            <w:pPr>
              <w:rPr>
                <w:rFonts w:cstheme="minorHAnsi"/>
                <w:sz w:val="20"/>
                <w:szCs w:val="20"/>
              </w:rPr>
            </w:pPr>
          </w:p>
        </w:tc>
        <w:tc>
          <w:tcPr>
            <w:tcW w:w="2387" w:type="dxa"/>
          </w:tcPr>
          <w:p w14:paraId="1908CD34" w14:textId="77777777" w:rsidR="0040486E" w:rsidRPr="00883791" w:rsidRDefault="0040486E" w:rsidP="0040486E">
            <w:pPr>
              <w:rPr>
                <w:rFonts w:cstheme="minorHAnsi"/>
                <w:sz w:val="20"/>
                <w:szCs w:val="20"/>
              </w:rPr>
            </w:pPr>
          </w:p>
        </w:tc>
        <w:tc>
          <w:tcPr>
            <w:tcW w:w="2160" w:type="dxa"/>
          </w:tcPr>
          <w:p w14:paraId="01B4FBA4" w14:textId="77777777" w:rsidR="0040486E" w:rsidRPr="00883791" w:rsidRDefault="0040486E" w:rsidP="0040486E">
            <w:pPr>
              <w:rPr>
                <w:rFonts w:cstheme="minorHAnsi"/>
                <w:sz w:val="20"/>
                <w:szCs w:val="20"/>
              </w:rPr>
            </w:pPr>
          </w:p>
        </w:tc>
        <w:tc>
          <w:tcPr>
            <w:tcW w:w="2520" w:type="dxa"/>
          </w:tcPr>
          <w:p w14:paraId="17267B74" w14:textId="77777777" w:rsidR="0040486E" w:rsidRPr="00883791" w:rsidRDefault="0040486E" w:rsidP="0040486E">
            <w:pPr>
              <w:rPr>
                <w:rFonts w:cstheme="minorHAnsi"/>
                <w:sz w:val="20"/>
                <w:szCs w:val="20"/>
              </w:rPr>
            </w:pPr>
          </w:p>
        </w:tc>
      </w:tr>
      <w:tr w:rsidR="0040486E" w:rsidRPr="00883791" w14:paraId="419F740F" w14:textId="77777777" w:rsidTr="00CF2A52">
        <w:trPr>
          <w:trHeight w:val="112"/>
        </w:trPr>
        <w:tc>
          <w:tcPr>
            <w:tcW w:w="1701" w:type="dxa"/>
            <w:vMerge w:val="restart"/>
          </w:tcPr>
          <w:p w14:paraId="00E565DD" w14:textId="77777777" w:rsidR="0040486E" w:rsidRPr="00115485" w:rsidRDefault="0040486E" w:rsidP="0040486E">
            <w:pPr>
              <w:rPr>
                <w:rFonts w:cstheme="minorHAnsi"/>
                <w:bCs/>
                <w:sz w:val="20"/>
                <w:szCs w:val="20"/>
              </w:rPr>
            </w:pPr>
          </w:p>
          <w:p w14:paraId="552A5A80" w14:textId="7B8176FF" w:rsidR="0040486E" w:rsidRPr="00115485" w:rsidRDefault="0040486E" w:rsidP="0040486E">
            <w:pPr>
              <w:rPr>
                <w:rFonts w:cstheme="minorHAnsi"/>
                <w:bCs/>
                <w:sz w:val="20"/>
                <w:szCs w:val="20"/>
              </w:rPr>
            </w:pPr>
            <w:r w:rsidRPr="004A6172">
              <w:rPr>
                <w:rFonts w:cstheme="minorHAnsi"/>
              </w:rPr>
              <w:t xml:space="preserve">Activité 2 : </w:t>
            </w:r>
            <w:bookmarkStart w:id="5" w:name="_Hlk179996751"/>
            <w:r w:rsidRPr="004A6172">
              <w:rPr>
                <w:rFonts w:cstheme="minorHAnsi"/>
              </w:rPr>
              <w:t>Promotion de la démarche Green IT</w:t>
            </w:r>
            <w:bookmarkEnd w:id="5"/>
          </w:p>
        </w:tc>
        <w:tc>
          <w:tcPr>
            <w:tcW w:w="3711" w:type="dxa"/>
          </w:tcPr>
          <w:p w14:paraId="54DEB83D" w14:textId="7CA5D33F" w:rsidR="0040486E" w:rsidRPr="00115485" w:rsidRDefault="0040486E" w:rsidP="0040486E">
            <w:pPr>
              <w:rPr>
                <w:rFonts w:cstheme="minorHAnsi"/>
                <w:sz w:val="20"/>
                <w:szCs w:val="20"/>
              </w:rPr>
            </w:pPr>
            <w:r w:rsidRPr="004A6172">
              <w:rPr>
                <w:rFonts w:cstheme="minorHAnsi"/>
              </w:rPr>
              <w:t xml:space="preserve">C3.3 </w:t>
            </w:r>
            <w:r w:rsidRPr="00B86275">
              <w:rPr>
                <w:rFonts w:cstheme="minorHAnsi"/>
              </w:rPr>
              <w:t xml:space="preserve">Intégrer les bonnes pratiques de Green IT dans les processus et les politiques de l’entreprise pour les diffuser à l’ensemble des directions métier en proposant une feuille de route aux donneurs d’ordre. </w:t>
            </w:r>
          </w:p>
        </w:tc>
        <w:tc>
          <w:tcPr>
            <w:tcW w:w="2410" w:type="dxa"/>
          </w:tcPr>
          <w:p w14:paraId="7F4EF0E5" w14:textId="77777777" w:rsidR="0040486E" w:rsidRPr="00883791" w:rsidRDefault="0040486E" w:rsidP="0040486E">
            <w:pPr>
              <w:rPr>
                <w:rFonts w:cstheme="minorHAnsi"/>
                <w:sz w:val="20"/>
                <w:szCs w:val="20"/>
              </w:rPr>
            </w:pPr>
          </w:p>
        </w:tc>
        <w:tc>
          <w:tcPr>
            <w:tcW w:w="2387" w:type="dxa"/>
          </w:tcPr>
          <w:p w14:paraId="127C813F" w14:textId="77777777" w:rsidR="0040486E" w:rsidRPr="00883791" w:rsidRDefault="0040486E" w:rsidP="0040486E">
            <w:pPr>
              <w:rPr>
                <w:rFonts w:cstheme="minorHAnsi"/>
                <w:sz w:val="20"/>
                <w:szCs w:val="20"/>
              </w:rPr>
            </w:pPr>
          </w:p>
        </w:tc>
        <w:tc>
          <w:tcPr>
            <w:tcW w:w="2160" w:type="dxa"/>
          </w:tcPr>
          <w:p w14:paraId="4D7711B2" w14:textId="77777777" w:rsidR="0040486E" w:rsidRPr="00883791" w:rsidRDefault="0040486E" w:rsidP="0040486E">
            <w:pPr>
              <w:rPr>
                <w:rFonts w:cstheme="minorHAnsi"/>
                <w:sz w:val="20"/>
                <w:szCs w:val="20"/>
              </w:rPr>
            </w:pPr>
          </w:p>
        </w:tc>
        <w:tc>
          <w:tcPr>
            <w:tcW w:w="2520" w:type="dxa"/>
          </w:tcPr>
          <w:p w14:paraId="6BEEC243" w14:textId="77777777" w:rsidR="0040486E" w:rsidRPr="00883791" w:rsidRDefault="0040486E" w:rsidP="0040486E">
            <w:pPr>
              <w:rPr>
                <w:rFonts w:cstheme="minorHAnsi"/>
                <w:sz w:val="20"/>
                <w:szCs w:val="20"/>
              </w:rPr>
            </w:pPr>
          </w:p>
        </w:tc>
      </w:tr>
      <w:tr w:rsidR="0040486E" w:rsidRPr="00883791" w14:paraId="4C10AAA2" w14:textId="77777777" w:rsidTr="00CF2A52">
        <w:trPr>
          <w:trHeight w:val="112"/>
        </w:trPr>
        <w:tc>
          <w:tcPr>
            <w:tcW w:w="1701" w:type="dxa"/>
            <w:vMerge/>
          </w:tcPr>
          <w:p w14:paraId="2032C843" w14:textId="77777777" w:rsidR="0040486E" w:rsidRPr="00A1140E" w:rsidRDefault="0040486E" w:rsidP="0040486E">
            <w:pPr>
              <w:rPr>
                <w:rFonts w:cstheme="minorHAnsi"/>
                <w:bCs/>
                <w:sz w:val="20"/>
                <w:szCs w:val="20"/>
              </w:rPr>
            </w:pPr>
          </w:p>
        </w:tc>
        <w:tc>
          <w:tcPr>
            <w:tcW w:w="3711" w:type="dxa"/>
          </w:tcPr>
          <w:p w14:paraId="57396DD5" w14:textId="30BF0451" w:rsidR="0040486E" w:rsidRPr="00A1140E" w:rsidRDefault="0040486E" w:rsidP="0040486E">
            <w:pPr>
              <w:rPr>
                <w:rFonts w:cstheme="minorHAnsi"/>
                <w:sz w:val="20"/>
                <w:szCs w:val="20"/>
              </w:rPr>
            </w:pPr>
            <w:r w:rsidRPr="004A6172">
              <w:rPr>
                <w:rFonts w:cstheme="minorHAnsi"/>
              </w:rPr>
              <w:t xml:space="preserve">C3.4 Mettre en place une communication interne en mobilisant les canaux existants et en créant des supports afin d’informer régulièrement les collaborateurs sur les objectifs, les avancées et les bénéfices de la transformation Green IT.  </w:t>
            </w:r>
          </w:p>
        </w:tc>
        <w:tc>
          <w:tcPr>
            <w:tcW w:w="2410" w:type="dxa"/>
          </w:tcPr>
          <w:p w14:paraId="513766C2" w14:textId="77777777" w:rsidR="0040486E" w:rsidRPr="00883791" w:rsidRDefault="0040486E" w:rsidP="0040486E">
            <w:pPr>
              <w:rPr>
                <w:rFonts w:cstheme="minorHAnsi"/>
                <w:sz w:val="20"/>
                <w:szCs w:val="20"/>
              </w:rPr>
            </w:pPr>
          </w:p>
        </w:tc>
        <w:tc>
          <w:tcPr>
            <w:tcW w:w="2387" w:type="dxa"/>
          </w:tcPr>
          <w:p w14:paraId="556E0D45" w14:textId="77777777" w:rsidR="0040486E" w:rsidRPr="00883791" w:rsidRDefault="0040486E" w:rsidP="0040486E">
            <w:pPr>
              <w:rPr>
                <w:rFonts w:cstheme="minorHAnsi"/>
                <w:sz w:val="20"/>
                <w:szCs w:val="20"/>
              </w:rPr>
            </w:pPr>
          </w:p>
        </w:tc>
        <w:tc>
          <w:tcPr>
            <w:tcW w:w="2160" w:type="dxa"/>
          </w:tcPr>
          <w:p w14:paraId="7A000660" w14:textId="77777777" w:rsidR="0040486E" w:rsidRPr="00883791" w:rsidRDefault="0040486E" w:rsidP="0040486E">
            <w:pPr>
              <w:rPr>
                <w:rFonts w:cstheme="minorHAnsi"/>
                <w:sz w:val="20"/>
                <w:szCs w:val="20"/>
              </w:rPr>
            </w:pPr>
          </w:p>
        </w:tc>
        <w:tc>
          <w:tcPr>
            <w:tcW w:w="2520" w:type="dxa"/>
          </w:tcPr>
          <w:p w14:paraId="6E0189CF" w14:textId="77777777" w:rsidR="0040486E" w:rsidRPr="00883791" w:rsidRDefault="0040486E" w:rsidP="0040486E">
            <w:pPr>
              <w:rPr>
                <w:rFonts w:cstheme="minorHAnsi"/>
                <w:sz w:val="20"/>
                <w:szCs w:val="20"/>
              </w:rPr>
            </w:pPr>
          </w:p>
        </w:tc>
      </w:tr>
      <w:tr w:rsidR="0040486E" w:rsidRPr="00883791" w14:paraId="795C03F8" w14:textId="77777777" w:rsidTr="00CF2A52">
        <w:trPr>
          <w:trHeight w:val="112"/>
        </w:trPr>
        <w:tc>
          <w:tcPr>
            <w:tcW w:w="1701" w:type="dxa"/>
            <w:vMerge/>
          </w:tcPr>
          <w:p w14:paraId="4FDE7B90" w14:textId="77777777" w:rsidR="0040486E" w:rsidRPr="00A1140E" w:rsidRDefault="0040486E" w:rsidP="0040486E">
            <w:pPr>
              <w:rPr>
                <w:rFonts w:cstheme="minorHAnsi"/>
                <w:bCs/>
                <w:sz w:val="20"/>
                <w:szCs w:val="20"/>
              </w:rPr>
            </w:pPr>
          </w:p>
        </w:tc>
        <w:tc>
          <w:tcPr>
            <w:tcW w:w="3711" w:type="dxa"/>
          </w:tcPr>
          <w:p w14:paraId="2537307C" w14:textId="2B156354" w:rsidR="0040486E" w:rsidRPr="00537A65" w:rsidRDefault="0040486E" w:rsidP="0040486E">
            <w:pPr>
              <w:rPr>
                <w:rFonts w:cstheme="minorHAnsi"/>
                <w:sz w:val="20"/>
                <w:szCs w:val="20"/>
              </w:rPr>
            </w:pPr>
            <w:r w:rsidRPr="004A6172">
              <w:rPr>
                <w:rFonts w:cstheme="minorHAnsi"/>
              </w:rPr>
              <w:t xml:space="preserve">C3.5 Promouvoir la démarche Green IT auprès des clients et des partenaires </w:t>
            </w:r>
            <w:r w:rsidRPr="004A6172">
              <w:rPr>
                <w:rFonts w:cstheme="minorHAnsi"/>
              </w:rPr>
              <w:lastRenderedPageBreak/>
              <w:t xml:space="preserve">externes en communiquant, avec les services concernés, sur les actions conduites pour les valoriser au sein de la marque employeur. </w:t>
            </w:r>
          </w:p>
        </w:tc>
        <w:tc>
          <w:tcPr>
            <w:tcW w:w="2410" w:type="dxa"/>
          </w:tcPr>
          <w:p w14:paraId="514BD179" w14:textId="77777777" w:rsidR="0040486E" w:rsidRPr="00883791" w:rsidRDefault="0040486E" w:rsidP="0040486E">
            <w:pPr>
              <w:rPr>
                <w:rFonts w:cstheme="minorHAnsi"/>
                <w:sz w:val="20"/>
                <w:szCs w:val="20"/>
              </w:rPr>
            </w:pPr>
          </w:p>
        </w:tc>
        <w:tc>
          <w:tcPr>
            <w:tcW w:w="2387" w:type="dxa"/>
          </w:tcPr>
          <w:p w14:paraId="64AFF349" w14:textId="77777777" w:rsidR="0040486E" w:rsidRPr="00883791" w:rsidRDefault="0040486E" w:rsidP="0040486E">
            <w:pPr>
              <w:rPr>
                <w:rFonts w:cstheme="minorHAnsi"/>
                <w:sz w:val="20"/>
                <w:szCs w:val="20"/>
              </w:rPr>
            </w:pPr>
          </w:p>
        </w:tc>
        <w:tc>
          <w:tcPr>
            <w:tcW w:w="2160" w:type="dxa"/>
          </w:tcPr>
          <w:p w14:paraId="4D1519AD" w14:textId="77777777" w:rsidR="0040486E" w:rsidRPr="00883791" w:rsidRDefault="0040486E" w:rsidP="0040486E">
            <w:pPr>
              <w:rPr>
                <w:rFonts w:cstheme="minorHAnsi"/>
                <w:sz w:val="20"/>
                <w:szCs w:val="20"/>
              </w:rPr>
            </w:pPr>
          </w:p>
        </w:tc>
        <w:tc>
          <w:tcPr>
            <w:tcW w:w="2520" w:type="dxa"/>
          </w:tcPr>
          <w:p w14:paraId="3D86D9BD" w14:textId="77777777" w:rsidR="0040486E" w:rsidRPr="00883791" w:rsidRDefault="0040486E" w:rsidP="0040486E">
            <w:pPr>
              <w:rPr>
                <w:rFonts w:cstheme="minorHAnsi"/>
                <w:sz w:val="20"/>
                <w:szCs w:val="20"/>
              </w:rPr>
            </w:pPr>
          </w:p>
        </w:tc>
      </w:tr>
      <w:tr w:rsidR="0040486E" w:rsidRPr="00883791" w14:paraId="1DE23EB3" w14:textId="77777777" w:rsidTr="00CF2A52">
        <w:trPr>
          <w:trHeight w:val="112"/>
        </w:trPr>
        <w:tc>
          <w:tcPr>
            <w:tcW w:w="1701" w:type="dxa"/>
          </w:tcPr>
          <w:p w14:paraId="5A7BB678" w14:textId="6E90676D" w:rsidR="0040486E" w:rsidRPr="00A1140E" w:rsidRDefault="0040486E" w:rsidP="0040486E">
            <w:pPr>
              <w:rPr>
                <w:rFonts w:cstheme="minorHAnsi"/>
                <w:bCs/>
                <w:sz w:val="20"/>
                <w:szCs w:val="20"/>
              </w:rPr>
            </w:pPr>
            <w:r w:rsidRPr="004A6172">
              <w:rPr>
                <w:rFonts w:cstheme="minorHAnsi"/>
              </w:rPr>
              <w:t xml:space="preserve">Activité 3 : </w:t>
            </w:r>
            <w:bookmarkStart w:id="6" w:name="_Hlk179996778"/>
            <w:r w:rsidRPr="004A6172">
              <w:rPr>
                <w:rFonts w:cstheme="minorHAnsi"/>
              </w:rPr>
              <w:t>Structuration, animation et participation à un réseau Green IT</w:t>
            </w:r>
            <w:bookmarkEnd w:id="6"/>
          </w:p>
        </w:tc>
        <w:tc>
          <w:tcPr>
            <w:tcW w:w="3711" w:type="dxa"/>
          </w:tcPr>
          <w:p w14:paraId="571409E9" w14:textId="34DCBF9A" w:rsidR="0040486E" w:rsidRPr="00537A65" w:rsidRDefault="0040486E" w:rsidP="0040486E">
            <w:pPr>
              <w:rPr>
                <w:rFonts w:cstheme="minorHAnsi"/>
                <w:sz w:val="20"/>
                <w:szCs w:val="20"/>
              </w:rPr>
            </w:pPr>
            <w:r w:rsidRPr="004A6172">
              <w:rPr>
                <w:rFonts w:cstheme="minorHAnsi"/>
              </w:rPr>
              <w:t>C3.6 Participer activement à la communauté Green IT en partageant ou en développant ses expériences et ses compétences pour s’inscrire dans une dynamique collective, améliorer ses pratiques et légitimer la démarche de l’entreprise.</w:t>
            </w:r>
          </w:p>
        </w:tc>
        <w:tc>
          <w:tcPr>
            <w:tcW w:w="2410" w:type="dxa"/>
          </w:tcPr>
          <w:p w14:paraId="36CD1433" w14:textId="77777777" w:rsidR="0040486E" w:rsidRPr="00883791" w:rsidRDefault="0040486E" w:rsidP="0040486E">
            <w:pPr>
              <w:rPr>
                <w:rFonts w:cstheme="minorHAnsi"/>
                <w:sz w:val="20"/>
                <w:szCs w:val="20"/>
              </w:rPr>
            </w:pPr>
          </w:p>
        </w:tc>
        <w:tc>
          <w:tcPr>
            <w:tcW w:w="2387" w:type="dxa"/>
          </w:tcPr>
          <w:p w14:paraId="748CB939" w14:textId="77777777" w:rsidR="0040486E" w:rsidRPr="00883791" w:rsidRDefault="0040486E" w:rsidP="0040486E">
            <w:pPr>
              <w:rPr>
                <w:rFonts w:cstheme="minorHAnsi"/>
                <w:sz w:val="20"/>
                <w:szCs w:val="20"/>
              </w:rPr>
            </w:pPr>
          </w:p>
        </w:tc>
        <w:tc>
          <w:tcPr>
            <w:tcW w:w="2160" w:type="dxa"/>
          </w:tcPr>
          <w:p w14:paraId="55AAB199" w14:textId="77777777" w:rsidR="0040486E" w:rsidRPr="00883791" w:rsidRDefault="0040486E" w:rsidP="0040486E">
            <w:pPr>
              <w:rPr>
                <w:rFonts w:cstheme="minorHAnsi"/>
                <w:sz w:val="20"/>
                <w:szCs w:val="20"/>
              </w:rPr>
            </w:pPr>
          </w:p>
        </w:tc>
        <w:tc>
          <w:tcPr>
            <w:tcW w:w="2520" w:type="dxa"/>
          </w:tcPr>
          <w:p w14:paraId="106C1805" w14:textId="77777777" w:rsidR="0040486E" w:rsidRPr="00883791" w:rsidRDefault="0040486E" w:rsidP="0040486E">
            <w:pPr>
              <w:rPr>
                <w:rFonts w:cstheme="minorHAnsi"/>
                <w:sz w:val="20"/>
                <w:szCs w:val="20"/>
              </w:rPr>
            </w:pPr>
          </w:p>
        </w:tc>
      </w:tr>
      <w:tr w:rsidR="0040486E" w:rsidRPr="00883791" w14:paraId="06ED83AD" w14:textId="77777777" w:rsidTr="00CF2A52">
        <w:trPr>
          <w:trHeight w:val="112"/>
        </w:trPr>
        <w:tc>
          <w:tcPr>
            <w:tcW w:w="1701" w:type="dxa"/>
          </w:tcPr>
          <w:p w14:paraId="51840480" w14:textId="0C9C661D" w:rsidR="0040486E" w:rsidRPr="00537A65" w:rsidRDefault="0040486E" w:rsidP="0040486E">
            <w:pPr>
              <w:rPr>
                <w:rFonts w:cstheme="minorHAnsi"/>
                <w:bCs/>
                <w:sz w:val="20"/>
                <w:szCs w:val="20"/>
              </w:rPr>
            </w:pPr>
          </w:p>
        </w:tc>
        <w:tc>
          <w:tcPr>
            <w:tcW w:w="3711" w:type="dxa"/>
          </w:tcPr>
          <w:p w14:paraId="50AD8840" w14:textId="13AF4C4B" w:rsidR="0040486E" w:rsidRPr="00537A65" w:rsidRDefault="0040486E" w:rsidP="0040486E">
            <w:pPr>
              <w:rPr>
                <w:rFonts w:cstheme="minorHAnsi"/>
                <w:sz w:val="20"/>
                <w:szCs w:val="20"/>
              </w:rPr>
            </w:pPr>
            <w:r w:rsidRPr="004A6172">
              <w:rPr>
                <w:rFonts w:cstheme="minorHAnsi"/>
              </w:rPr>
              <w:t xml:space="preserve">C3.7 Construire un réseau d’ambassadeurs en mobilisant des collaborateurs sensibilisés aux enjeux sociaux et environnementaux pour faire émerger une culture d’entreprise autour du Green IT. </w:t>
            </w:r>
          </w:p>
        </w:tc>
        <w:tc>
          <w:tcPr>
            <w:tcW w:w="2410" w:type="dxa"/>
          </w:tcPr>
          <w:p w14:paraId="2C50F2B7" w14:textId="77777777" w:rsidR="0040486E" w:rsidRPr="00883791" w:rsidRDefault="0040486E" w:rsidP="0040486E">
            <w:pPr>
              <w:rPr>
                <w:rFonts w:cstheme="minorHAnsi"/>
                <w:sz w:val="20"/>
                <w:szCs w:val="20"/>
              </w:rPr>
            </w:pPr>
          </w:p>
        </w:tc>
        <w:tc>
          <w:tcPr>
            <w:tcW w:w="2387" w:type="dxa"/>
          </w:tcPr>
          <w:p w14:paraId="387C2CCC" w14:textId="77777777" w:rsidR="0040486E" w:rsidRPr="00883791" w:rsidRDefault="0040486E" w:rsidP="0040486E">
            <w:pPr>
              <w:rPr>
                <w:rFonts w:cstheme="minorHAnsi"/>
                <w:sz w:val="20"/>
                <w:szCs w:val="20"/>
              </w:rPr>
            </w:pPr>
          </w:p>
        </w:tc>
        <w:tc>
          <w:tcPr>
            <w:tcW w:w="2160" w:type="dxa"/>
          </w:tcPr>
          <w:p w14:paraId="0ECF718B" w14:textId="77777777" w:rsidR="0040486E" w:rsidRPr="00883791" w:rsidRDefault="0040486E" w:rsidP="0040486E">
            <w:pPr>
              <w:rPr>
                <w:rFonts w:cstheme="minorHAnsi"/>
                <w:sz w:val="20"/>
                <w:szCs w:val="20"/>
              </w:rPr>
            </w:pPr>
          </w:p>
        </w:tc>
        <w:tc>
          <w:tcPr>
            <w:tcW w:w="2520" w:type="dxa"/>
          </w:tcPr>
          <w:p w14:paraId="47439665" w14:textId="77777777" w:rsidR="0040486E" w:rsidRPr="00883791" w:rsidRDefault="0040486E" w:rsidP="0040486E">
            <w:pPr>
              <w:rPr>
                <w:rFonts w:cstheme="minorHAnsi"/>
                <w:sz w:val="20"/>
                <w:szCs w:val="20"/>
              </w:rPr>
            </w:pPr>
          </w:p>
        </w:tc>
      </w:tr>
    </w:tbl>
    <w:p w14:paraId="7D031AC0" w14:textId="13958E41" w:rsidR="00FA045C" w:rsidRDefault="00FA045C"/>
    <w:sectPr w:rsidR="00FA045C" w:rsidSect="00E07950">
      <w:headerReference w:type="default" r:id="rId10"/>
      <w:footerReference w:type="default" r:id="rId11"/>
      <w:pgSz w:w="16838" w:h="11906" w:orient="landscape"/>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A1144B" w14:textId="77777777" w:rsidR="005F2DA4" w:rsidRDefault="005F2DA4">
      <w:pPr>
        <w:spacing w:after="0" w:line="240" w:lineRule="auto"/>
      </w:pPr>
      <w:r>
        <w:separator/>
      </w:r>
    </w:p>
  </w:endnote>
  <w:endnote w:type="continuationSeparator" w:id="0">
    <w:p w14:paraId="164BB7BD" w14:textId="77777777" w:rsidR="005F2DA4" w:rsidRDefault="005F2D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7000654"/>
      <w:docPartObj>
        <w:docPartGallery w:val="Page Numbers (Bottom of Page)"/>
        <w:docPartUnique/>
      </w:docPartObj>
    </w:sdtPr>
    <w:sdtEndPr/>
    <w:sdtContent>
      <w:p w14:paraId="0B119787" w14:textId="2E5434E6" w:rsidR="00F63FFF" w:rsidRDefault="00F63FFF">
        <w:pPr>
          <w:pStyle w:val="Pieddepage"/>
          <w:jc w:val="right"/>
        </w:pPr>
        <w:r>
          <w:fldChar w:fldCharType="begin"/>
        </w:r>
        <w:r>
          <w:instrText>PAGE   \* MERGEFORMAT</w:instrText>
        </w:r>
        <w:r>
          <w:fldChar w:fldCharType="separate"/>
        </w:r>
        <w:r>
          <w:t>2</w:t>
        </w:r>
        <w:r>
          <w:fldChar w:fldCharType="end"/>
        </w:r>
      </w:p>
    </w:sdtContent>
  </w:sdt>
  <w:p w14:paraId="4AAC7447" w14:textId="388B7782" w:rsidR="60B4E893" w:rsidRDefault="60B4E893" w:rsidP="60B4E89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AF2B48" w14:textId="77777777" w:rsidR="005F2DA4" w:rsidRDefault="005F2DA4">
      <w:pPr>
        <w:spacing w:after="0" w:line="240" w:lineRule="auto"/>
      </w:pPr>
      <w:r>
        <w:separator/>
      </w:r>
    </w:p>
  </w:footnote>
  <w:footnote w:type="continuationSeparator" w:id="0">
    <w:p w14:paraId="390A5E72" w14:textId="77777777" w:rsidR="005F2DA4" w:rsidRDefault="005F2D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390" w:type="dxa"/>
      <w:tblLayout w:type="fixed"/>
      <w:tblCellMar>
        <w:left w:w="70" w:type="dxa"/>
        <w:right w:w="70" w:type="dxa"/>
      </w:tblCellMar>
      <w:tblLook w:val="06A0" w:firstRow="1" w:lastRow="0" w:firstColumn="1" w:lastColumn="0" w:noHBand="1" w:noVBand="1"/>
    </w:tblPr>
    <w:tblGrid>
      <w:gridCol w:w="2410"/>
      <w:gridCol w:w="9781"/>
      <w:gridCol w:w="3199"/>
    </w:tblGrid>
    <w:tr w:rsidR="60B4E893" w14:paraId="177ED883" w14:textId="77777777" w:rsidTr="00A76D3B">
      <w:trPr>
        <w:trHeight w:val="94"/>
      </w:trPr>
      <w:tc>
        <w:tcPr>
          <w:tcW w:w="2410" w:type="dxa"/>
        </w:tcPr>
        <w:p w14:paraId="7DB1B500" w14:textId="74A4F973" w:rsidR="60B4E893" w:rsidRDefault="60B4E893" w:rsidP="60B4E893">
          <w:pPr>
            <w:pStyle w:val="En-tte"/>
            <w:ind w:left="-115"/>
          </w:pPr>
        </w:p>
      </w:tc>
      <w:tc>
        <w:tcPr>
          <w:tcW w:w="9781" w:type="dxa"/>
        </w:tcPr>
        <w:p w14:paraId="5009A63E" w14:textId="7F44DA1F" w:rsidR="00F63FFF" w:rsidRPr="00F63FFF" w:rsidRDefault="00F63FFF" w:rsidP="60B4E893">
          <w:pPr>
            <w:pStyle w:val="En-tte"/>
            <w:jc w:val="center"/>
            <w:rPr>
              <w:b/>
              <w:bCs/>
              <w:color w:val="FF41B9"/>
              <w:sz w:val="28"/>
              <w:szCs w:val="28"/>
            </w:rPr>
          </w:pPr>
          <w:r w:rsidRPr="00F63FFF">
            <w:rPr>
              <w:b/>
              <w:bCs/>
              <w:color w:val="FF41B9"/>
              <w:sz w:val="28"/>
              <w:szCs w:val="28"/>
            </w:rPr>
            <w:t xml:space="preserve">Projet de formation </w:t>
          </w:r>
          <w:r w:rsidR="00A76D3B">
            <w:rPr>
              <w:b/>
              <w:bCs/>
              <w:color w:val="FF41B9"/>
              <w:sz w:val="28"/>
              <w:szCs w:val="28"/>
            </w:rPr>
            <w:t xml:space="preserve">- </w:t>
          </w:r>
          <w:r w:rsidR="00B03E75">
            <w:rPr>
              <w:b/>
              <w:bCs/>
              <w:color w:val="FF41B9"/>
              <w:sz w:val="28"/>
              <w:szCs w:val="28"/>
            </w:rPr>
            <w:t>TFP Responsable Green IT</w:t>
          </w:r>
        </w:p>
        <w:p w14:paraId="43C15189" w14:textId="673AA645" w:rsidR="60B4E893" w:rsidRPr="00F63FFF" w:rsidRDefault="00F63FFF" w:rsidP="60B4E893">
          <w:pPr>
            <w:pStyle w:val="En-tte"/>
            <w:jc w:val="center"/>
            <w:rPr>
              <w:b/>
              <w:bCs/>
              <w:color w:val="FF41B9"/>
              <w:sz w:val="28"/>
              <w:szCs w:val="28"/>
            </w:rPr>
          </w:pPr>
          <w:r w:rsidRPr="00F63FFF">
            <w:rPr>
              <w:b/>
              <w:bCs/>
              <w:color w:val="FF41B9"/>
              <w:sz w:val="28"/>
              <w:szCs w:val="28"/>
            </w:rPr>
            <w:t xml:space="preserve">Tableau de correspondance </w:t>
          </w:r>
        </w:p>
      </w:tc>
      <w:tc>
        <w:tcPr>
          <w:tcW w:w="3199" w:type="dxa"/>
        </w:tcPr>
        <w:p w14:paraId="0A849D0E" w14:textId="4FCF8DD5" w:rsidR="60B4E893" w:rsidRDefault="60B4E893" w:rsidP="60B4E893">
          <w:pPr>
            <w:pStyle w:val="En-tte"/>
            <w:ind w:right="-115"/>
            <w:jc w:val="right"/>
          </w:pPr>
        </w:p>
      </w:tc>
    </w:tr>
  </w:tbl>
  <w:p w14:paraId="1466F7FE" w14:textId="7802B579" w:rsidR="60B4E893" w:rsidRDefault="00F63FFF" w:rsidP="60B4E893">
    <w:pPr>
      <w:pStyle w:val="En-tte"/>
    </w:pPr>
    <w:r>
      <w:rPr>
        <w:noProof/>
      </w:rPr>
      <w:drawing>
        <wp:anchor distT="0" distB="0" distL="114300" distR="114300" simplePos="0" relativeHeight="251658240" behindDoc="1" locked="0" layoutInCell="1" allowOverlap="1" wp14:anchorId="1624581B" wp14:editId="2135CB36">
          <wp:simplePos x="0" y="0"/>
          <wp:positionH relativeFrom="column">
            <wp:posOffset>210820</wp:posOffset>
          </wp:positionH>
          <wp:positionV relativeFrom="paragraph">
            <wp:posOffset>-750277</wp:posOffset>
          </wp:positionV>
          <wp:extent cx="1948180" cy="613410"/>
          <wp:effectExtent l="0" t="0" r="0" b="0"/>
          <wp:wrapTight wrapText="bothSides">
            <wp:wrapPolygon edited="0">
              <wp:start x="8237" y="4025"/>
              <wp:lineTo x="1267" y="8050"/>
              <wp:lineTo x="422" y="11404"/>
              <wp:lineTo x="1056" y="16099"/>
              <wp:lineTo x="20488" y="16099"/>
              <wp:lineTo x="20910" y="10062"/>
              <wp:lineTo x="20065" y="8050"/>
              <wp:lineTo x="16475" y="4025"/>
              <wp:lineTo x="8237" y="4025"/>
            </wp:wrapPolygon>
          </wp:wrapTight>
          <wp:docPr id="25" name="Image 1">
            <a:extLst xmlns:a="http://schemas.openxmlformats.org/drawingml/2006/main">
              <a:ext uri="{FF2B5EF4-FFF2-40B4-BE49-F238E27FC236}">
                <a16:creationId xmlns:a16="http://schemas.microsoft.com/office/drawing/2014/main" id="{886DAB07-EA44-49DE-A1EB-F78DA0C047A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a:extLst>
                      <a:ext uri="{FF2B5EF4-FFF2-40B4-BE49-F238E27FC236}">
                        <a16:creationId xmlns:a16="http://schemas.microsoft.com/office/drawing/2014/main" id="{886DAB07-EA44-49DE-A1EB-F78DA0C047A7}"/>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948180" cy="61341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E3F94"/>
    <w:multiLevelType w:val="hybridMultilevel"/>
    <w:tmpl w:val="C6DEE560"/>
    <w:lvl w:ilvl="0" w:tplc="00000012">
      <w:start w:val="2"/>
      <w:numFmt w:val="bullet"/>
      <w:lvlText w:val="-"/>
      <w:lvlJc w:val="left"/>
      <w:pPr>
        <w:ind w:left="720" w:hanging="360"/>
      </w:pPr>
      <w:rPr>
        <w:rFonts w:ascii="Times New Roman" w:hAnsi="Times New Roman" w:cs="Times New Roman" w:hint="default"/>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60D6F78"/>
    <w:multiLevelType w:val="hybridMultilevel"/>
    <w:tmpl w:val="D35E6F84"/>
    <w:lvl w:ilvl="0" w:tplc="E6B682E4">
      <w:numFmt w:val="bullet"/>
      <w:lvlText w:val=""/>
      <w:lvlJc w:val="left"/>
      <w:pPr>
        <w:ind w:left="720" w:hanging="360"/>
      </w:pPr>
      <w:rPr>
        <w:rFonts w:ascii="Symbol" w:eastAsiaTheme="minorHAnsi" w:hAnsi="Symbol"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C884FF7"/>
    <w:multiLevelType w:val="hybridMultilevel"/>
    <w:tmpl w:val="4A2C10F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0993958">
    <w:abstractNumId w:val="0"/>
  </w:num>
  <w:num w:numId="2" w16cid:durableId="744885603">
    <w:abstractNumId w:val="2"/>
  </w:num>
  <w:num w:numId="3" w16cid:durableId="91528027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045C"/>
    <w:rsid w:val="00017B2E"/>
    <w:rsid w:val="0002146C"/>
    <w:rsid w:val="00094DCA"/>
    <w:rsid w:val="000B2A29"/>
    <w:rsid w:val="00115485"/>
    <w:rsid w:val="00125766"/>
    <w:rsid w:val="001566DA"/>
    <w:rsid w:val="001C2C46"/>
    <w:rsid w:val="001F62C2"/>
    <w:rsid w:val="00235DA4"/>
    <w:rsid w:val="00295342"/>
    <w:rsid w:val="002C07E9"/>
    <w:rsid w:val="00311C3C"/>
    <w:rsid w:val="003757BA"/>
    <w:rsid w:val="0040486E"/>
    <w:rsid w:val="004264FA"/>
    <w:rsid w:val="00484A9D"/>
    <w:rsid w:val="00537A65"/>
    <w:rsid w:val="0057302F"/>
    <w:rsid w:val="005F2DA4"/>
    <w:rsid w:val="00617246"/>
    <w:rsid w:val="007C4711"/>
    <w:rsid w:val="00855539"/>
    <w:rsid w:val="0087737A"/>
    <w:rsid w:val="00883791"/>
    <w:rsid w:val="00942E3D"/>
    <w:rsid w:val="00954073"/>
    <w:rsid w:val="00A1140E"/>
    <w:rsid w:val="00A33C88"/>
    <w:rsid w:val="00A53634"/>
    <w:rsid w:val="00A76D3B"/>
    <w:rsid w:val="00B03E75"/>
    <w:rsid w:val="00B5072C"/>
    <w:rsid w:val="00B55B13"/>
    <w:rsid w:val="00B572CB"/>
    <w:rsid w:val="00C86C72"/>
    <w:rsid w:val="00CE5DB4"/>
    <w:rsid w:val="00CF2A52"/>
    <w:rsid w:val="00D63415"/>
    <w:rsid w:val="00D9607B"/>
    <w:rsid w:val="00DA7AEF"/>
    <w:rsid w:val="00DB6EAF"/>
    <w:rsid w:val="00E07950"/>
    <w:rsid w:val="00E22B60"/>
    <w:rsid w:val="00E3309B"/>
    <w:rsid w:val="00F07D90"/>
    <w:rsid w:val="00F63FFF"/>
    <w:rsid w:val="00F758F6"/>
    <w:rsid w:val="00FA045C"/>
    <w:rsid w:val="00FC402B"/>
    <w:rsid w:val="04034F49"/>
    <w:rsid w:val="04295277"/>
    <w:rsid w:val="059F1FAA"/>
    <w:rsid w:val="08918C3B"/>
    <w:rsid w:val="11283DA7"/>
    <w:rsid w:val="139768D3"/>
    <w:rsid w:val="19AF5B64"/>
    <w:rsid w:val="1B9AFCBC"/>
    <w:rsid w:val="1CFF525F"/>
    <w:rsid w:val="29ACAB76"/>
    <w:rsid w:val="2F76EF21"/>
    <w:rsid w:val="31D5CB0E"/>
    <w:rsid w:val="34BF41A8"/>
    <w:rsid w:val="39033A7C"/>
    <w:rsid w:val="3AC80482"/>
    <w:rsid w:val="3B689017"/>
    <w:rsid w:val="3D684755"/>
    <w:rsid w:val="3E6B7712"/>
    <w:rsid w:val="414AF459"/>
    <w:rsid w:val="52DE8E9F"/>
    <w:rsid w:val="586818B2"/>
    <w:rsid w:val="60B4E893"/>
    <w:rsid w:val="624CA4FB"/>
    <w:rsid w:val="62FC9FEF"/>
    <w:rsid w:val="63373458"/>
    <w:rsid w:val="6561BF3C"/>
    <w:rsid w:val="65664E1B"/>
    <w:rsid w:val="6744B340"/>
    <w:rsid w:val="6A575239"/>
    <w:rsid w:val="6F410F2B"/>
    <w:rsid w:val="7754B532"/>
    <w:rsid w:val="7D944095"/>
    <w:rsid w:val="7F3010F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462BBA3"/>
  <w15:chartTrackingRefBased/>
  <w15:docId w15:val="{9C5E1D56-9DA9-46F8-962D-6127268CA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045C"/>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FA04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link w:val="ParagraphedelisteCar"/>
    <w:uiPriority w:val="34"/>
    <w:qFormat/>
    <w:rsid w:val="00FA045C"/>
    <w:pPr>
      <w:spacing w:after="0" w:line="240" w:lineRule="auto"/>
      <w:ind w:left="720"/>
      <w:contextualSpacing/>
    </w:pPr>
    <w:rPr>
      <w:rFonts w:eastAsiaTheme="minorEastAsia"/>
      <w:sz w:val="24"/>
      <w:szCs w:val="24"/>
      <w:lang w:eastAsia="fr-FR"/>
    </w:rPr>
  </w:style>
  <w:style w:type="character" w:customStyle="1" w:styleId="ParagraphedelisteCar">
    <w:name w:val="Paragraphe de liste Car"/>
    <w:basedOn w:val="Policepardfaut"/>
    <w:link w:val="Paragraphedeliste"/>
    <w:uiPriority w:val="34"/>
    <w:qFormat/>
    <w:rsid w:val="00FA045C"/>
    <w:rPr>
      <w:rFonts w:eastAsiaTheme="minorEastAsia"/>
      <w:sz w:val="24"/>
      <w:szCs w:val="24"/>
      <w:lang w:eastAsia="fr-FR"/>
    </w:rPr>
  </w:style>
  <w:style w:type="character" w:styleId="Marquedecommentaire">
    <w:name w:val="annotation reference"/>
    <w:basedOn w:val="Policepardfaut"/>
    <w:uiPriority w:val="99"/>
    <w:semiHidden/>
    <w:unhideWhenUsed/>
    <w:rsid w:val="00B55B13"/>
    <w:rPr>
      <w:sz w:val="16"/>
      <w:szCs w:val="16"/>
    </w:rPr>
  </w:style>
  <w:style w:type="paragraph" w:styleId="Commentaire">
    <w:name w:val="annotation text"/>
    <w:basedOn w:val="Normal"/>
    <w:link w:val="CommentaireCar"/>
    <w:uiPriority w:val="99"/>
    <w:unhideWhenUsed/>
    <w:rsid w:val="00B55B13"/>
    <w:pPr>
      <w:spacing w:line="240" w:lineRule="auto"/>
    </w:pPr>
    <w:rPr>
      <w:sz w:val="20"/>
      <w:szCs w:val="20"/>
    </w:rPr>
  </w:style>
  <w:style w:type="character" w:customStyle="1" w:styleId="CommentaireCar">
    <w:name w:val="Commentaire Car"/>
    <w:basedOn w:val="Policepardfaut"/>
    <w:link w:val="Commentaire"/>
    <w:uiPriority w:val="99"/>
    <w:rsid w:val="00B55B13"/>
    <w:rPr>
      <w:sz w:val="20"/>
      <w:szCs w:val="20"/>
    </w:rPr>
  </w:style>
  <w:style w:type="paragraph" w:styleId="Objetducommentaire">
    <w:name w:val="annotation subject"/>
    <w:basedOn w:val="Commentaire"/>
    <w:next w:val="Commentaire"/>
    <w:link w:val="ObjetducommentaireCar"/>
    <w:uiPriority w:val="99"/>
    <w:semiHidden/>
    <w:unhideWhenUsed/>
    <w:rsid w:val="00B55B13"/>
    <w:rPr>
      <w:b/>
      <w:bCs/>
    </w:rPr>
  </w:style>
  <w:style w:type="character" w:customStyle="1" w:styleId="ObjetducommentaireCar">
    <w:name w:val="Objet du commentaire Car"/>
    <w:basedOn w:val="CommentaireCar"/>
    <w:link w:val="Objetducommentaire"/>
    <w:uiPriority w:val="99"/>
    <w:semiHidden/>
    <w:rsid w:val="00B55B13"/>
    <w:rPr>
      <w:b/>
      <w:bCs/>
      <w:sz w:val="20"/>
      <w:szCs w:val="20"/>
    </w:rPr>
  </w:style>
  <w:style w:type="character" w:customStyle="1" w:styleId="En-tteCar">
    <w:name w:val="En-tête Car"/>
    <w:basedOn w:val="Policepardfaut"/>
    <w:link w:val="En-tte"/>
    <w:uiPriority w:val="99"/>
  </w:style>
  <w:style w:type="paragraph" w:styleId="En-tte">
    <w:name w:val="header"/>
    <w:basedOn w:val="Normal"/>
    <w:link w:val="En-tteCar"/>
    <w:uiPriority w:val="99"/>
    <w:unhideWhenUsed/>
    <w:pPr>
      <w:tabs>
        <w:tab w:val="center" w:pos="4680"/>
        <w:tab w:val="right" w:pos="9360"/>
      </w:tabs>
      <w:spacing w:after="0" w:line="240" w:lineRule="auto"/>
    </w:pPr>
  </w:style>
  <w:style w:type="character" w:customStyle="1" w:styleId="PieddepageCar">
    <w:name w:val="Pied de page Car"/>
    <w:basedOn w:val="Policepardfaut"/>
    <w:link w:val="Pieddepage"/>
    <w:uiPriority w:val="99"/>
  </w:style>
  <w:style w:type="paragraph" w:styleId="Pieddepage">
    <w:name w:val="footer"/>
    <w:basedOn w:val="Normal"/>
    <w:link w:val="PieddepageCar"/>
    <w:uiPriority w:val="99"/>
    <w:unhideWhenUsed/>
    <w:pPr>
      <w:tabs>
        <w:tab w:val="center" w:pos="4680"/>
        <w:tab w:val="right" w:pos="9360"/>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1D53C3BBD653346832464CF0685DE7D" ma:contentTypeVersion="2" ma:contentTypeDescription="Crée un document." ma:contentTypeScope="" ma:versionID="57a6983a169214587ccccfc70cae52be">
  <xsd:schema xmlns:xsd="http://www.w3.org/2001/XMLSchema" xmlns:xs="http://www.w3.org/2001/XMLSchema" xmlns:p="http://schemas.microsoft.com/office/2006/metadata/properties" xmlns:ns2="ffa7b2b6-7d63-4dc5-a35e-a8e15daeecd3" targetNamespace="http://schemas.microsoft.com/office/2006/metadata/properties" ma:root="true" ma:fieldsID="66a17e579b32c317e5f2b30c6275c7ed" ns2:_="">
    <xsd:import namespace="ffa7b2b6-7d63-4dc5-a35e-a8e15daeecd3"/>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a7b2b6-7d63-4dc5-a35e-a8e15daeec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E5DBB75-41AC-4D8F-9548-2DB4F09EDF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fa7b2b6-7d63-4dc5-a35e-a8e15daeec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DC0EDDA-9461-4293-89B5-DEE56CED284D}">
  <ds:schemaRefs>
    <ds:schemaRef ds:uri="http://schemas.microsoft.com/sharepoint/v3/contenttype/forms"/>
  </ds:schemaRefs>
</ds:datastoreItem>
</file>

<file path=customXml/itemProps3.xml><?xml version="1.0" encoding="utf-8"?>
<ds:datastoreItem xmlns:ds="http://schemas.openxmlformats.org/officeDocument/2006/customXml" ds:itemID="{C34846D5-536F-44B1-A721-EFCB7CA2161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241</TotalTime>
  <Pages>7</Pages>
  <Words>1078</Words>
  <Characters>5934</Characters>
  <Application>Microsoft Office Word</Application>
  <DocSecurity>0</DocSecurity>
  <Lines>49</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Pierre-Luc MACHEFER</dc:creator>
  <cp:keywords/>
  <dc:description/>
  <cp:lastModifiedBy>LE CLEZIO Véronique</cp:lastModifiedBy>
  <cp:revision>20</cp:revision>
  <dcterms:created xsi:type="dcterms:W3CDTF">2023-04-12T12:52:00Z</dcterms:created>
  <dcterms:modified xsi:type="dcterms:W3CDTF">2024-10-22T13:33:00Z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0x01010041D53C3BBD653346832464CF0685DE7D</vt:lpwstr>
  </property>
  <property fmtid="{D5CDD505-2E9C-101B-9397-08002B2CF9AE}" pid="3" name="MediaServiceImageTags">
    <vt:lpwstr/>
  </property>
</Properties>
</file>